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pPr>
        <w:pStyle w:val="Prrafodelista"/>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pPr>
        <w:pStyle w:val="Prrafodelista"/>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pPr>
        <w:pStyle w:val="Prrafodelista"/>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pPr>
        <w:pStyle w:val="Prrafodelista"/>
        <w:numPr>
          <w:ilvl w:val="0"/>
          <w:numId w:val="2"/>
        </w:numPr>
      </w:pPr>
      <w:r w:rsidRPr="00F276B3">
        <w:t>Insert answers into the blank, white cells provided.</w:t>
      </w:r>
    </w:p>
    <w:p w14:paraId="4AB13ACC" w14:textId="37246AC2" w:rsidR="00E63AC5" w:rsidRDefault="00E63AC5">
      <w:pPr>
        <w:pStyle w:val="Prrafodelista"/>
        <w:numPr>
          <w:ilvl w:val="0"/>
          <w:numId w:val="2"/>
        </w:numPr>
      </w:pPr>
      <w:r w:rsidRPr="00E63AC5">
        <w:t>Follow all question instructions as closely as possible (e.g. only selecting one answer if directed).</w:t>
      </w:r>
    </w:p>
    <w:p w14:paraId="5D67E02F" w14:textId="6828D47D" w:rsidR="002F1ABB" w:rsidRDefault="002F1ABB">
      <w:pPr>
        <w:pStyle w:val="Prrafodelista"/>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pPr>
        <w:pStyle w:val="Prrafodelista"/>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pPr>
        <w:pStyle w:val="Prrafodelista"/>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78136F9" w:rsidR="00093CA9" w:rsidRDefault="000D5B8E"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9037DF4" w:rsidR="00093CA9" w:rsidRDefault="00A11A3F" w:rsidP="00D448D0">
            <w:r w:rsidRPr="00A11A3F">
              <w:t>Decree 926 of 2017 (Decreto 926 de 2017) under Law 1819 of 2016</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9EA4462" w:rsidR="00093CA9" w:rsidRDefault="007D55FD" w:rsidP="00093CA9">
            <w:hyperlink r:id="rId17" w:history="1">
              <w:r w:rsidRPr="00D44C4F">
                <w:rPr>
                  <w:rStyle w:val="Hipervnculo"/>
                </w:rPr>
                <w:t>https://web.archive.org/web/20250711163500/https://www.minambiente.gov.co/wp-content/uploads/2022/01/13.-Decreto-926-de-2017.pdf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D4CCD72"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F84F2F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5C20172"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B32C526" w:rsidR="00093CA9" w:rsidRDefault="00A11A3F"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4932DB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49B2A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A3B102C" w:rsidR="00093CA9" w:rsidRDefault="009A345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67610AB" w:rsidR="00093CA9" w:rsidRPr="00173D7C" w:rsidRDefault="009A345A" w:rsidP="00093CA9">
            <w:pPr>
              <w:rPr>
                <w:color w:val="000000" w:themeColor="text1"/>
              </w:rPr>
            </w:pPr>
            <w:r>
              <w:rPr>
                <w:color w:val="000000" w:themeColor="text1"/>
              </w:rPr>
              <w:t>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F616D86" w:rsidR="00093CA9" w:rsidRPr="00173D7C" w:rsidRDefault="009A345A" w:rsidP="00093CA9">
            <w:pPr>
              <w:rPr>
                <w:color w:val="000000" w:themeColor="text1"/>
              </w:rPr>
            </w:pPr>
            <w:r>
              <w:rPr>
                <w:color w:val="000000" w:themeColor="text1"/>
              </w:rPr>
              <w:t>2017</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05F4D9DA" w:rsidR="00093CA9" w:rsidRPr="00587FAE" w:rsidRDefault="00793F63" w:rsidP="00093CA9">
            <w:pPr>
              <w:rPr>
                <w:color w:val="000000" w:themeColor="text1"/>
              </w:rPr>
            </w:pPr>
            <w:r>
              <w:rPr>
                <w:color w:val="000000" w:themeColor="text1"/>
              </w:rPr>
              <w:t>No</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411D3D38" w:rsidR="00093CA9" w:rsidRPr="007419BF" w:rsidRDefault="00793F63" w:rsidP="00093CA9">
            <w:pPr>
              <w:rPr>
                <w:color w:val="000000" w:themeColor="text1"/>
              </w:rPr>
            </w:pPr>
            <w:r>
              <w:rPr>
                <w:color w:val="000000" w:themeColor="text1"/>
              </w:rPr>
              <w:t>No end date.</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2C4A8BD5" w14:textId="77777777" w:rsidR="009A345A" w:rsidRPr="009A345A" w:rsidRDefault="009A345A" w:rsidP="009A345A">
            <w:r w:rsidRPr="009A345A">
              <w:t>he Ministry of Finance and Public Credit (Ministerio de Hacienda y Crédito Público), and</w:t>
            </w:r>
          </w:p>
          <w:p w14:paraId="42E33D2D" w14:textId="77777777" w:rsidR="009A345A" w:rsidRPr="009A345A" w:rsidRDefault="009A345A" w:rsidP="009A345A">
            <w:r w:rsidRPr="009A345A">
              <w:t>The Ministry of Environment and Sustainable Development (Ministerio de Ambiente y Desarrollo Sostenible).</w:t>
            </w:r>
          </w:p>
          <w:p w14:paraId="7961F236" w14:textId="63A04693" w:rsidR="00093CA9" w:rsidRDefault="009A345A" w:rsidP="009A345A">
            <w:r w:rsidRPr="009A345A">
              <w:t>It was signed and enacted by the President of the Republic of Colombia, making the head of state the formal issuing authority, with the ministries acting as the authoring and implementing bodies</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75D05D3" w:rsidR="00093CA9" w:rsidRPr="006B7B0D" w:rsidRDefault="009A345A" w:rsidP="00093CA9">
            <w:r w:rsidRPr="009A345A">
              <w:t>the </w:t>
            </w:r>
            <w:r w:rsidRPr="009A345A">
              <w:rPr>
                <w:b/>
                <w:bCs/>
              </w:rPr>
              <w:t>Ministry of Environment and Sustainable Development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B7E53C9" w:rsidR="00093CA9" w:rsidRPr="006B7B0D" w:rsidRDefault="009A345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793F63"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0E4A4632" w14:textId="77777777" w:rsidR="009A345A" w:rsidRPr="009A345A" w:rsidRDefault="009A345A" w:rsidP="009A345A">
            <w:pPr>
              <w:rPr>
                <w:b/>
                <w:bCs/>
                <w:lang w:val="es-ES"/>
              </w:rPr>
            </w:pPr>
            <w:r w:rsidRPr="009A345A">
              <w:rPr>
                <w:b/>
                <w:bCs/>
                <w:lang w:val="es-ES"/>
              </w:rPr>
              <w:t>Unidad Administrativa Especial Dirección de Impuestos y Aduanas Nacionales (DIAN)</w:t>
            </w:r>
          </w:p>
          <w:p w14:paraId="507D976A" w14:textId="77777777" w:rsidR="00093CA9" w:rsidRPr="009A345A" w:rsidRDefault="00093CA9" w:rsidP="00093CA9">
            <w:pPr>
              <w:rPr>
                <w:lang w:val="es-ES"/>
              </w:rPr>
            </w:pP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15E469D7" w:rsidR="00093CA9" w:rsidRPr="006B7B0D" w:rsidRDefault="009A345A"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0D2E6C9" w:rsidR="00093CA9" w:rsidRDefault="009A345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57F3A4BF" w14:textId="77777777" w:rsidR="009A345A" w:rsidRPr="009A345A" w:rsidRDefault="009A345A" w:rsidP="009A345A">
            <w:pPr>
              <w:keepNext/>
              <w:rPr>
                <w:color w:val="000000" w:themeColor="text1"/>
                <w:lang w:val="en-US"/>
              </w:rPr>
            </w:pPr>
            <w:r w:rsidRPr="009A345A">
              <w:rPr>
                <w:color w:val="000000" w:themeColor="text1"/>
                <w:lang w:val="en-US"/>
              </w:rPr>
              <w:t>Decree 926 of 2017 establishes several mechanisms to monitor and enforce compliance with the carbon neutrality certification and carbon tax exemption:</w:t>
            </w:r>
          </w:p>
          <w:p w14:paraId="39040F79" w14:textId="77777777" w:rsidR="009A345A" w:rsidRPr="009A345A" w:rsidRDefault="009A345A">
            <w:pPr>
              <w:keepNext/>
              <w:numPr>
                <w:ilvl w:val="0"/>
                <w:numId w:val="3"/>
              </w:numPr>
              <w:rPr>
                <w:color w:val="000000" w:themeColor="text1"/>
                <w:lang w:val="es-ES"/>
              </w:rPr>
            </w:pPr>
            <w:r w:rsidRPr="009A345A">
              <w:rPr>
                <w:color w:val="000000" w:themeColor="text1"/>
                <w:lang w:val="es-ES"/>
              </w:rPr>
              <w:t>Verification and Reporting Requirements</w:t>
            </w:r>
          </w:p>
          <w:p w14:paraId="6BD277DC" w14:textId="77777777" w:rsidR="009A345A" w:rsidRPr="009A345A" w:rsidRDefault="009A345A" w:rsidP="009A345A">
            <w:pPr>
              <w:keepNext/>
              <w:rPr>
                <w:color w:val="000000" w:themeColor="text1"/>
                <w:lang w:val="en-US"/>
              </w:rPr>
            </w:pPr>
            <w:r w:rsidRPr="009A345A">
              <w:rPr>
                <w:color w:val="000000" w:themeColor="text1"/>
                <w:lang w:val="en-US"/>
              </w:rPr>
              <w:t>Entities seeking exemption must submit a verification declaration and a voluntary cancellation certificate proving the neutralization of emissions associated with fossil fuel use.</w:t>
            </w:r>
          </w:p>
          <w:p w14:paraId="044D2A23" w14:textId="77777777" w:rsidR="009A345A" w:rsidRPr="009A345A" w:rsidRDefault="009A345A" w:rsidP="009A345A">
            <w:pPr>
              <w:keepNext/>
              <w:rPr>
                <w:color w:val="000000" w:themeColor="text1"/>
                <w:lang w:val="en-US"/>
              </w:rPr>
            </w:pPr>
            <w:r w:rsidRPr="009A345A">
              <w:rPr>
                <w:color w:val="000000" w:themeColor="text1"/>
                <w:lang w:val="en-US"/>
              </w:rPr>
              <w:t>These documents must be submitted to the fuel producer or importer before the tax is triggered (Article 1.5.5.3).</w:t>
            </w:r>
          </w:p>
          <w:p w14:paraId="1F5633E5" w14:textId="77777777" w:rsidR="009A345A" w:rsidRPr="009A345A" w:rsidRDefault="009A345A">
            <w:pPr>
              <w:keepNext/>
              <w:numPr>
                <w:ilvl w:val="0"/>
                <w:numId w:val="3"/>
              </w:numPr>
              <w:rPr>
                <w:color w:val="000000" w:themeColor="text1"/>
                <w:lang w:val="es-ES"/>
              </w:rPr>
            </w:pPr>
            <w:r w:rsidRPr="009A345A">
              <w:rPr>
                <w:color w:val="000000" w:themeColor="text1"/>
                <w:lang w:val="es-ES"/>
              </w:rPr>
              <w:t>National Registry of Emission Reductions</w:t>
            </w:r>
          </w:p>
          <w:p w14:paraId="49118DFD" w14:textId="77777777" w:rsidR="009A345A" w:rsidRPr="009A345A" w:rsidRDefault="009A345A" w:rsidP="009A345A">
            <w:pPr>
              <w:keepNext/>
              <w:rPr>
                <w:color w:val="000000" w:themeColor="text1"/>
                <w:lang w:val="es-ES"/>
              </w:rPr>
            </w:pPr>
            <w:r w:rsidRPr="009A345A">
              <w:rPr>
                <w:color w:val="000000" w:themeColor="text1"/>
                <w:lang w:val="es-ES"/>
              </w:rPr>
              <w:t>The Ministry of Environment and Sustainable Development is responsible for managing the Registro Nacional de Reducción de las Emisiones de Gases de Efecto Invernadero (GEl).</w:t>
            </w:r>
          </w:p>
          <w:p w14:paraId="41810CC9" w14:textId="77777777" w:rsidR="009A345A" w:rsidRPr="009A345A" w:rsidRDefault="009A345A" w:rsidP="009A345A">
            <w:pPr>
              <w:keepNext/>
              <w:rPr>
                <w:color w:val="000000" w:themeColor="text1"/>
                <w:lang w:val="en-US"/>
              </w:rPr>
            </w:pPr>
            <w:r w:rsidRPr="009A345A">
              <w:rPr>
                <w:color w:val="000000" w:themeColor="text1"/>
                <w:lang w:val="en-US"/>
              </w:rPr>
              <w:t>This registry must include public platforms for tracking emission reductions and removals (Article 2.2.11.2.1, numerals 2 and 5).</w:t>
            </w:r>
          </w:p>
          <w:p w14:paraId="0ED447C0" w14:textId="77777777" w:rsidR="009A345A" w:rsidRPr="009A345A" w:rsidRDefault="009A345A">
            <w:pPr>
              <w:keepNext/>
              <w:numPr>
                <w:ilvl w:val="0"/>
                <w:numId w:val="3"/>
              </w:numPr>
              <w:rPr>
                <w:color w:val="000000" w:themeColor="text1"/>
                <w:lang w:val="es-ES"/>
              </w:rPr>
            </w:pPr>
            <w:r w:rsidRPr="009A345A">
              <w:rPr>
                <w:color w:val="000000" w:themeColor="text1"/>
                <w:lang w:val="es-ES"/>
              </w:rPr>
              <w:t>Oversight by DIAN</w:t>
            </w:r>
          </w:p>
          <w:p w14:paraId="00D1443B" w14:textId="77777777" w:rsidR="009A345A" w:rsidRPr="009A345A" w:rsidRDefault="009A345A" w:rsidP="009A345A">
            <w:pPr>
              <w:keepNext/>
              <w:rPr>
                <w:color w:val="000000" w:themeColor="text1"/>
                <w:lang w:val="en-US"/>
              </w:rPr>
            </w:pPr>
            <w:r w:rsidRPr="009A345A">
              <w:rPr>
                <w:color w:val="000000" w:themeColor="text1"/>
                <w:lang w:val="en-US"/>
              </w:rPr>
              <w:t>The Unidad Administrativa Especial Dirección de Impuestos y Aduanas Nacionales (DIAN) is empowered to request and verify information related to the non-application of the carbon tax (Article 1.5.5.8).</w:t>
            </w:r>
          </w:p>
          <w:p w14:paraId="773336BD" w14:textId="77777777" w:rsidR="009A345A" w:rsidRPr="009A345A" w:rsidRDefault="009A345A" w:rsidP="009A345A">
            <w:pPr>
              <w:keepNext/>
              <w:rPr>
                <w:color w:val="000000" w:themeColor="text1"/>
                <w:lang w:val="en-US"/>
              </w:rPr>
            </w:pPr>
            <w:r w:rsidRPr="009A345A">
              <w:rPr>
                <w:color w:val="000000" w:themeColor="text1"/>
                <w:lang w:val="en-US"/>
              </w:rPr>
              <w:t>DIAN may require identification of the taxpayer, quantities of fuel exempted, and supporting documentation.</w:t>
            </w:r>
          </w:p>
          <w:p w14:paraId="02C7F06B" w14:textId="77777777" w:rsidR="009A345A" w:rsidRPr="009A345A" w:rsidRDefault="009A345A">
            <w:pPr>
              <w:keepNext/>
              <w:numPr>
                <w:ilvl w:val="0"/>
                <w:numId w:val="3"/>
              </w:numPr>
              <w:rPr>
                <w:color w:val="000000" w:themeColor="text1"/>
                <w:lang w:val="es-ES"/>
              </w:rPr>
            </w:pPr>
            <w:r w:rsidRPr="009A345A">
              <w:rPr>
                <w:color w:val="000000" w:themeColor="text1"/>
                <w:lang w:val="es-ES"/>
              </w:rPr>
              <w:t>Transition Regime Reporting</w:t>
            </w:r>
          </w:p>
          <w:p w14:paraId="4B5EEC59" w14:textId="77777777" w:rsidR="009A345A" w:rsidRPr="009A345A" w:rsidRDefault="009A345A" w:rsidP="009A345A">
            <w:pPr>
              <w:keepNext/>
              <w:rPr>
                <w:color w:val="000000" w:themeColor="text1"/>
                <w:lang w:val="en-US"/>
              </w:rPr>
            </w:pPr>
            <w:r w:rsidRPr="009A345A">
              <w:rPr>
                <w:color w:val="000000" w:themeColor="text1"/>
                <w:lang w:val="en-US"/>
              </w:rPr>
              <w:t>Until the registry is operational, entities must submit physical and digital copies of verification documents to the Ministry of Environment (Article 4).</w:t>
            </w:r>
          </w:p>
          <w:p w14:paraId="139DE402" w14:textId="77777777" w:rsidR="009A345A" w:rsidRPr="009A345A" w:rsidRDefault="009A345A" w:rsidP="009A345A">
            <w:pPr>
              <w:keepNext/>
              <w:rPr>
                <w:color w:val="000000" w:themeColor="text1"/>
                <w:lang w:val="en-US"/>
              </w:rPr>
            </w:pPr>
            <w:r w:rsidRPr="009A345A">
              <w:rPr>
                <w:color w:val="000000" w:themeColor="text1"/>
                <w:lang w:val="en-US"/>
              </w:rPr>
              <w:t>Once the registry is live, entities have three months to upload this data.</w:t>
            </w:r>
          </w:p>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6376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6376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6376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F49690E" w:rsidR="00D4323A" w:rsidRPr="00CF2E7C" w:rsidRDefault="009A345A"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3E504A21" w:rsidR="00D4323A" w:rsidRPr="00CF2E7C" w:rsidRDefault="009A345A"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29389A33" w:rsidR="00D4323A" w:rsidRPr="00CF2E7C" w:rsidRDefault="009A345A" w:rsidP="00CF2E7C">
            <w:pPr>
              <w:rPr>
                <w:rFonts w:ascii="Calibri" w:hAnsi="Calibri" w:cs="Calibri"/>
              </w:rPr>
            </w:pPr>
            <w:r>
              <w:rPr>
                <w:rFonts w:ascii="Calibri" w:hAnsi="Calibri" w:cs="Calibri"/>
              </w:rPr>
              <w:t>X</w:t>
            </w: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B805191" w:rsidR="00D4323A" w:rsidRPr="00CF2E7C" w:rsidRDefault="009A345A" w:rsidP="00CF2E7C">
            <w:pPr>
              <w:rPr>
                <w:rFonts w:ascii="Calibri" w:hAnsi="Calibri" w:cs="Calibri"/>
              </w:rPr>
            </w:pPr>
            <w:r>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04C62CFA" w:rsidR="00D4323A" w:rsidRPr="00CF2E7C" w:rsidRDefault="009A345A" w:rsidP="00CF2E7C">
            <w:pPr>
              <w:rPr>
                <w:rFonts w:ascii="Calibri" w:hAnsi="Calibri" w:cs="Calibri"/>
              </w:rPr>
            </w:pPr>
            <w:r>
              <w:rPr>
                <w:rFonts w:ascii="Calibri" w:hAnsi="Calibri" w:cs="Calibri"/>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41B82BB1" w:rsidR="00D4323A" w:rsidRPr="00CF2E7C" w:rsidRDefault="009A345A" w:rsidP="00CF2E7C">
            <w:pPr>
              <w:rPr>
                <w:rFonts w:ascii="Calibri" w:hAnsi="Calibri" w:cs="Calibri"/>
              </w:rPr>
            </w:pPr>
            <w:r>
              <w:rPr>
                <w:rFonts w:ascii="Calibri" w:hAnsi="Calibri" w:cs="Calibri"/>
              </w:rPr>
              <w:t>X</w:t>
            </w: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5170F9F8" w:rsidR="00D4323A" w:rsidRPr="00CF2E7C" w:rsidRDefault="009A345A"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63282AC" w:rsidR="00D4323A" w:rsidRPr="00CF2E7C" w:rsidRDefault="009A345A"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0ACBE9B0" w:rsidR="00D4323A" w:rsidRPr="00CF2E7C" w:rsidRDefault="009A345A"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4BD0B950" w:rsidR="00D4323A" w:rsidRPr="00CF2E7C" w:rsidRDefault="009A345A"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21620AA1" w:rsidR="00D4323A" w:rsidRPr="00CF2E7C" w:rsidRDefault="009A345A"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493E90CA" w:rsidR="00D4323A" w:rsidRPr="00CF2E7C" w:rsidRDefault="009A345A" w:rsidP="00CF2E7C">
            <w:pPr>
              <w:rPr>
                <w:rFonts w:ascii="Calibri" w:hAnsi="Calibri" w:cs="Calibri"/>
              </w:rPr>
            </w:pPr>
            <w:r>
              <w:rPr>
                <w:rFonts w:ascii="Calibri" w:hAnsi="Calibri" w:cs="Calibri"/>
              </w:rPr>
              <w:t>X</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4604F156" w:rsidR="00092534" w:rsidRPr="00CF2E7C" w:rsidRDefault="00793F63" w:rsidP="00CF2E7C">
            <w:pPr>
              <w:rPr>
                <w:rFonts w:ascii="Calibri" w:hAnsi="Calibri" w:cs="Calibri"/>
              </w:rPr>
            </w:pPr>
            <w:r>
              <w:rPr>
                <w:rFonts w:ascii="Calibri" w:hAnsi="Calibri" w:cs="Calibri"/>
              </w:rPr>
              <w:t>X</w:t>
            </w: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0AAC09DC" w:rsidR="00092534" w:rsidRPr="00CF2E7C" w:rsidRDefault="00793F63" w:rsidP="00CF2E7C">
            <w:pPr>
              <w:rPr>
                <w:rFonts w:ascii="Calibri" w:hAnsi="Calibri" w:cs="Calibri"/>
              </w:rPr>
            </w:pPr>
            <w:r>
              <w:rPr>
                <w:rFonts w:ascii="Calibri" w:hAnsi="Calibri" w:cs="Calibri"/>
              </w:rPr>
              <w:t>X</w:t>
            </w: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03B3256B" w:rsidR="00092534" w:rsidRPr="00CF2E7C" w:rsidRDefault="00793F63" w:rsidP="00CF2E7C">
            <w:pPr>
              <w:rPr>
                <w:rFonts w:ascii="Calibri" w:hAnsi="Calibri" w:cs="Calibri"/>
              </w:rPr>
            </w:pPr>
            <w:r>
              <w:rPr>
                <w:rFonts w:ascii="Calibri" w:hAnsi="Calibri" w:cs="Calibri"/>
              </w:rPr>
              <w:t>X</w:t>
            </w: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88373FA" w:rsidR="00092534" w:rsidRPr="00CF2E7C" w:rsidRDefault="00793F63" w:rsidP="00CF2E7C">
            <w:pPr>
              <w:rPr>
                <w:rFonts w:ascii="Calibri" w:hAnsi="Calibri" w:cs="Calibri"/>
              </w:rPr>
            </w:pPr>
            <w:r>
              <w:rPr>
                <w:rFonts w:ascii="Calibri" w:hAnsi="Calibri" w:cs="Calibri"/>
              </w:rPr>
              <w:t>X</w:t>
            </w: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C833E62" w:rsidR="00092534" w:rsidRPr="00CF2E7C" w:rsidRDefault="00793F63" w:rsidP="00CF2E7C">
            <w:pPr>
              <w:rPr>
                <w:rFonts w:ascii="Calibri" w:hAnsi="Calibri" w:cs="Calibri"/>
              </w:rPr>
            </w:pPr>
            <w:r>
              <w:rPr>
                <w:rFonts w:ascii="Calibri" w:hAnsi="Calibri" w:cs="Calibri"/>
              </w:rPr>
              <w:t>X</w:t>
            </w: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6629B7B"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0BFA7DAF"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23B4548E"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581C84FB"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59267044"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32ADCDCD"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50BCF6EE"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19C39428"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F1772B5"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41988217"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12C37B68"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0621075"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D1E43DF"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0D1ECD75"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1BCB653"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6FAB9086"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23D466FB"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267F803B"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04671122"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0108F396"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4F7577BD" w:rsidR="00092534" w:rsidRPr="00CF2E7C" w:rsidRDefault="009A345A" w:rsidP="00CF2E7C">
            <w:pPr>
              <w:rPr>
                <w:rFonts w:ascii="Calibri" w:hAnsi="Calibri" w:cs="Calibri"/>
              </w:rPr>
            </w:pPr>
            <w:r>
              <w:rPr>
                <w:rFonts w:ascii="Calibri" w:hAnsi="Calibri" w:cs="Calibri"/>
              </w:rPr>
              <w:t>X</w:t>
            </w: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687F7AFB" w:rsidR="00092534" w:rsidRPr="00CF2E7C" w:rsidRDefault="009A345A"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248CDB63" w:rsidR="00092534" w:rsidRPr="00CF2E7C" w:rsidRDefault="00F41E01" w:rsidP="00CF2E7C">
            <w:pPr>
              <w:rPr>
                <w:rFonts w:ascii="Calibri" w:hAnsi="Calibri" w:cs="Calibri"/>
              </w:rPr>
            </w:pPr>
            <w:r>
              <w:rPr>
                <w:rFonts w:ascii="Calibri" w:hAnsi="Calibri" w:cs="Calibri"/>
              </w:rPr>
              <w:t>Not specified</w:t>
            </w: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23984C3D" w:rsidR="00092534" w:rsidRPr="00CF2E7C" w:rsidRDefault="00F41E01" w:rsidP="00CF2E7C">
            <w:pPr>
              <w:rPr>
                <w:rFonts w:ascii="Calibri" w:hAnsi="Calibri" w:cs="Calibri"/>
              </w:rPr>
            </w:pPr>
            <w:r>
              <w:rPr>
                <w:rFonts w:ascii="Calibri" w:hAnsi="Calibri" w:cs="Calibri"/>
              </w:rPr>
              <w:t>Not specified</w:t>
            </w: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24B174FD" w:rsidR="00092534" w:rsidRPr="00CF2E7C" w:rsidRDefault="00F41E01" w:rsidP="00CF2E7C">
            <w:pPr>
              <w:rPr>
                <w:rFonts w:ascii="Calibri" w:hAnsi="Calibri" w:cs="Calibri"/>
                <w:lang w:val="sv-SE"/>
              </w:rPr>
            </w:pPr>
            <w:r>
              <w:rPr>
                <w:rFonts w:ascii="Calibri" w:hAnsi="Calibri" w:cs="Calibri"/>
              </w:rPr>
              <w:t>Not specified</w:t>
            </w: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46E1C38F" w:rsidR="00092534" w:rsidRPr="00CF2E7C" w:rsidRDefault="00F41E01" w:rsidP="00CF2E7C">
            <w:pPr>
              <w:rPr>
                <w:rFonts w:ascii="Calibri" w:hAnsi="Calibri" w:cs="Calibri"/>
              </w:rPr>
            </w:pPr>
            <w:r>
              <w:rPr>
                <w:rFonts w:ascii="Calibri" w:hAnsi="Calibri" w:cs="Calibri"/>
              </w:rPr>
              <w:t>Not specified</w:t>
            </w: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63494900" w:rsidR="00092534" w:rsidRPr="00CF2E7C" w:rsidRDefault="00F41E01" w:rsidP="00CF2E7C">
            <w:pPr>
              <w:rPr>
                <w:rFonts w:ascii="Calibri" w:hAnsi="Calibri" w:cs="Calibri"/>
              </w:rPr>
            </w:pPr>
            <w:r w:rsidRPr="00F41E01">
              <w:rPr>
                <w:rFonts w:ascii="Calibri" w:hAnsi="Calibri" w:cs="Calibri"/>
              </w:rPr>
              <w:t xml:space="preserve"> The policy applies to entities that acquire or consume fossil fuels within Colombian territory, regardless of their legal form, provided they seek carbon neutrality certification</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0C80363D" w:rsidR="00092534" w:rsidRPr="00F41E01" w:rsidRDefault="00F41E01" w:rsidP="00CF2E7C">
            <w:pPr>
              <w:rPr>
                <w:rFonts w:ascii="Calibri" w:hAnsi="Calibri" w:cs="Calibri"/>
              </w:rPr>
            </w:pPr>
            <w:r w:rsidRPr="00F41E01">
              <w:rPr>
                <w:rFonts w:ascii="Calibri" w:hAnsi="Calibri" w:cs="Calibri"/>
              </w:rPr>
              <w:t>The policy applies to any entity (natural or legal, public or private) that is a consumer or user of fossil fuels and wishes to obtain carbon neutrality certification to benefit from the non-application of the national carbon tax</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5C5124B7" w:rsidR="00092534" w:rsidRPr="00CF2E7C" w:rsidRDefault="00F41E01"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9A4B852" w:rsidR="00DB1E72" w:rsidRPr="00CF2E7C" w:rsidRDefault="00F41E01"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lastRenderedPageBreak/>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067961A3" w:rsidR="00DB1E72" w:rsidRPr="00CF2E7C" w:rsidRDefault="00F41E01" w:rsidP="00CF2E7C">
            <w:pPr>
              <w:rPr>
                <w:rFonts w:ascii="Calibri" w:hAnsi="Calibri" w:cs="Calibri"/>
              </w:rPr>
            </w:pPr>
            <w:r>
              <w:rPr>
                <w:rFonts w:ascii="Calibri" w:hAnsi="Calibri" w:cs="Calibri"/>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4B89522" w14:textId="77777777" w:rsidR="00F41E01" w:rsidRPr="00F41E01" w:rsidRDefault="00F41E01" w:rsidP="00F41E01">
            <w:pPr>
              <w:rPr>
                <w:rFonts w:ascii="Calibri" w:hAnsi="Calibri" w:cs="Calibri"/>
                <w:lang w:val="en-US"/>
              </w:rPr>
            </w:pPr>
            <w:r w:rsidRPr="00F41E01">
              <w:rPr>
                <w:rFonts w:ascii="Calibri" w:hAnsi="Calibri" w:cs="Calibri"/>
                <w:lang w:val="en-US"/>
              </w:rPr>
              <w:t>Monetary Fine: While the decree does not explicitly list fines, it references Article 23 of Law 383 of 1997, which states that using multiple tax benefits for the same economic event results in the loss of the greater benefit and may trigger sanctions for inaccuracy (“sanciones por inexactitud”) under the Colombian Tax Code (Estatuto Tributario) .</w:t>
            </w:r>
          </w:p>
          <w:p w14:paraId="283E18D0" w14:textId="77777777" w:rsidR="00F41E01" w:rsidRPr="00F41E01" w:rsidRDefault="00F41E01" w:rsidP="00F41E01">
            <w:pPr>
              <w:rPr>
                <w:rFonts w:ascii="Calibri" w:hAnsi="Calibri" w:cs="Calibri"/>
                <w:lang w:val="en-US"/>
              </w:rPr>
            </w:pPr>
            <w:r w:rsidRPr="00F41E01">
              <w:rPr>
                <w:rFonts w:ascii="Calibri" w:hAnsi="Calibri" w:cs="Calibri"/>
                <w:lang w:val="en-US"/>
              </w:rPr>
              <w:t>Other: The decree empowers DIAN (Colombia’s tax authority) to conduct fiscal audits and investigations (Article 1.5.5.8), and to deny tax exemptions or refunds if the required documentation (e.g., verification declarations, cancellation certificates) is incomplete or invalid. This constitutes an administrative enforcement mechanism rather than a criminal or contractual penalty.</w:t>
            </w:r>
          </w:p>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269810B4" w:rsidR="00092534" w:rsidRPr="00CF2E7C" w:rsidRDefault="00F41E01"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98EDDB1" w14:textId="7F482F42" w:rsidR="00F41E01" w:rsidRPr="00793F63" w:rsidRDefault="00F41E01" w:rsidP="00F41E01">
            <w:pPr>
              <w:rPr>
                <w:rFonts w:ascii="Calibri" w:hAnsi="Calibri" w:cs="Calibri"/>
                <w:lang w:val="en-US"/>
              </w:rPr>
            </w:pPr>
            <w:r w:rsidRPr="00F41E01">
              <w:rPr>
                <w:rFonts w:ascii="Calibri" w:hAnsi="Calibri" w:cs="Calibri"/>
                <w:lang w:val="en-US"/>
              </w:rPr>
              <w:t>Decree 926 of 2017 outlines several concrete steps and institutional mechanisms that confirm its implementation:</w:t>
            </w:r>
          </w:p>
          <w:p w14:paraId="69CCA1E9" w14:textId="77777777" w:rsidR="00F41E01" w:rsidRPr="00F41E01" w:rsidRDefault="00F41E01">
            <w:pPr>
              <w:numPr>
                <w:ilvl w:val="0"/>
                <w:numId w:val="4"/>
              </w:numPr>
              <w:rPr>
                <w:rFonts w:ascii="Calibri" w:hAnsi="Calibri" w:cs="Calibri"/>
                <w:lang w:val="es-ES"/>
              </w:rPr>
            </w:pPr>
            <w:r w:rsidRPr="00F41E01">
              <w:rPr>
                <w:rFonts w:ascii="Calibri" w:hAnsi="Calibri" w:cs="Calibri"/>
                <w:lang w:val="es-ES"/>
              </w:rPr>
              <w:t>Operational Mechanisms</w:t>
            </w:r>
          </w:p>
          <w:p w14:paraId="08BEB416" w14:textId="069B2876" w:rsidR="00F41E01" w:rsidRPr="00F41E01" w:rsidRDefault="00F41E01" w:rsidP="00F41E01">
            <w:pPr>
              <w:rPr>
                <w:rFonts w:ascii="Calibri" w:hAnsi="Calibri" w:cs="Calibri"/>
                <w:lang w:val="es-ES"/>
              </w:rPr>
            </w:pPr>
            <w:r w:rsidRPr="00F41E01">
              <w:rPr>
                <w:rFonts w:ascii="Calibri" w:hAnsi="Calibri" w:cs="Calibri"/>
                <w:lang w:val="es-ES"/>
              </w:rPr>
              <w:t>It mandates the creation and use of the Registro Nacional de Reducción de las Emisiones de Gases de Efecto Invernadero (GEl), a national registry for tracking emission reductions and removals </w:t>
            </w:r>
          </w:p>
          <w:p w14:paraId="4E9BC062" w14:textId="0F4A02F2" w:rsidR="00092534" w:rsidRPr="00F41E01" w:rsidRDefault="00F41E01" w:rsidP="00F41E01">
            <w:pPr>
              <w:rPr>
                <w:rFonts w:ascii="Calibri" w:hAnsi="Calibri" w:cs="Calibri"/>
                <w:lang w:val="en-US"/>
              </w:rPr>
            </w:pPr>
            <w:r w:rsidRPr="00F41E01">
              <w:rPr>
                <w:rFonts w:ascii="Calibri" w:hAnsi="Calibri" w:cs="Calibri"/>
                <w:lang w:val="en-US"/>
              </w:rPr>
              <w:t>It establishes procedures for carbon neutrality certification, tax exemption, and refunds, all of which require documentation, verification, and oversight </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lastRenderedPageBreak/>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368DE9F2"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D54AF58" w:rsidR="00092534" w:rsidRPr="00CF2E7C" w:rsidRDefault="00F41E01"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AEE5A30" w14:textId="77777777" w:rsidR="00F41E01" w:rsidRPr="00F41E01" w:rsidRDefault="00F41E01" w:rsidP="00F41E01">
            <w:pPr>
              <w:rPr>
                <w:rFonts w:ascii="Calibri" w:hAnsi="Calibri" w:cs="Calibri"/>
                <w:lang w:val="en-US"/>
              </w:rPr>
            </w:pPr>
            <w:r w:rsidRPr="00F41E01">
              <w:rPr>
                <w:rFonts w:ascii="Calibri" w:hAnsi="Calibri" w:cs="Calibri"/>
                <w:lang w:val="en-US"/>
              </w:rPr>
              <w:t>While there is no publicly documented case of a specific regulatory dispute or sanction directly tied to Decree 926 of 2017, the decree itself is embedded within Colombia’s tax enforcement framework and references Article 23 of Law 383 of 1997, which establishes that:</w:t>
            </w:r>
          </w:p>
          <w:p w14:paraId="3506C5D2" w14:textId="77777777" w:rsidR="00F41E01" w:rsidRPr="00F41E01" w:rsidRDefault="00F41E01" w:rsidP="00F41E01">
            <w:pPr>
              <w:rPr>
                <w:rFonts w:ascii="Calibri" w:hAnsi="Calibri" w:cs="Calibri"/>
                <w:lang w:val="en-US"/>
              </w:rPr>
            </w:pPr>
            <w:r w:rsidRPr="00F41E01">
              <w:rPr>
                <w:rFonts w:ascii="Calibri" w:hAnsi="Calibri" w:cs="Calibri"/>
                <w:lang w:val="en-US"/>
              </w:rPr>
              <w:t>“The use of multiple tax benefits based on the same economic event results in the loss of the greater benefit, without prejudice to the sanctions for inaccuracy that may apply.”</w:t>
            </w:r>
          </w:p>
          <w:p w14:paraId="70AF1D19" w14:textId="414E86C0" w:rsidR="00F41E01" w:rsidRPr="00F41E01" w:rsidRDefault="00F41E01" w:rsidP="00F41E01">
            <w:pPr>
              <w:rPr>
                <w:rFonts w:ascii="Calibri" w:hAnsi="Calibri" w:cs="Calibri"/>
                <w:lang w:val="en-US"/>
              </w:rPr>
            </w:pPr>
            <w:r w:rsidRPr="00F41E01">
              <w:rPr>
                <w:rFonts w:ascii="Calibri" w:hAnsi="Calibri" w:cs="Calibri"/>
                <w:lang w:val="en-US"/>
              </w:rPr>
              <w:t>Additionally, the DIAN (Dirección de Impuestos y Aduanas Nacionales) is explicitly granted broad powers of fiscal oversight and investigation under Articles 631, 631-3, and 684 of the Colombian Tax Code, which are referenced in the decree </w:t>
            </w:r>
          </w:p>
          <w:p w14:paraId="08FC4EBB" w14:textId="77777777" w:rsidR="00F41E01" w:rsidRPr="00F41E01" w:rsidRDefault="00F41E01" w:rsidP="00F41E01">
            <w:pPr>
              <w:rPr>
                <w:rFonts w:ascii="Calibri" w:hAnsi="Calibri" w:cs="Calibri"/>
                <w:lang w:val="en-US"/>
              </w:rPr>
            </w:pPr>
            <w:r w:rsidRPr="00F41E01">
              <w:rPr>
                <w:rFonts w:ascii="Calibri" w:hAnsi="Calibri" w:cs="Calibri"/>
                <w:lang w:val="en-US"/>
              </w:rPr>
              <w:t>These legal provisions are routinely enforced by DIAN in the broader context of tax compliance. Therefore, while no specific enforcement case under Decree 926 is cited in public sources, the legal and institutional mechanisms for enforcement are active and in use.</w:t>
            </w:r>
          </w:p>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530FF7A4" w:rsidR="00092534" w:rsidRPr="00CF2E7C" w:rsidRDefault="00F41E01"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1BB58187" w:rsidR="00D46B07" w:rsidRPr="00CF2E7C" w:rsidRDefault="0033605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1D36E080" w:rsidR="00D46B07" w:rsidRPr="00CF2E7C" w:rsidRDefault="0033605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5B1E5F0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3605C">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372FF0E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3605C">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4539763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3605C">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487984A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3605C">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78E214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3605C">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1437FC5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3605C">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42D93B40" w:rsidR="00D46B07" w:rsidRPr="00CF2E7C" w:rsidRDefault="0033605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22C2DA52" w:rsidR="00D46B07" w:rsidRPr="00CF2E7C" w:rsidRDefault="0033605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33605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5F790ED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05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423AB4B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05C">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6133477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05C">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074A680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05C">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4C863B7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05C">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B4A6FE" w14:textId="77777777" w:rsidR="0033605C" w:rsidRPr="0033605C" w:rsidRDefault="00702413" w:rsidP="0033605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eastAsia="en-GB"/>
                <w14:ligatures w14:val="none"/>
              </w:rPr>
              <w:t> </w:t>
            </w:r>
            <w:r w:rsidR="0033605C" w:rsidRPr="0033605C">
              <w:rPr>
                <w:rFonts w:ascii="Calibri" w:eastAsia="Times New Roman" w:hAnsi="Calibri" w:cs="Calibri"/>
                <w:kern w:val="0"/>
                <w:lang w:val="en-US" w:eastAsia="en-GB"/>
                <w14:ligatures w14:val="none"/>
              </w:rPr>
              <w:t>Decree 926 of 2017 requires the use of a national registry to track the issuance, cancellation, and verification of carbon credits:</w:t>
            </w:r>
          </w:p>
          <w:p w14:paraId="0D773C63" w14:textId="77777777" w:rsidR="0033605C" w:rsidRPr="0033605C" w:rsidRDefault="0033605C" w:rsidP="0033605C">
            <w:pPr>
              <w:textAlignment w:val="baseline"/>
              <w:rPr>
                <w:rFonts w:ascii="Calibri" w:eastAsia="Times New Roman" w:hAnsi="Calibri" w:cs="Calibri"/>
                <w:kern w:val="0"/>
                <w:lang w:val="es-ES" w:eastAsia="en-GB"/>
                <w14:ligatures w14:val="none"/>
              </w:rPr>
            </w:pPr>
            <w:r w:rsidRPr="0033605C">
              <w:rPr>
                <w:rFonts w:ascii="Calibri" w:eastAsia="Times New Roman" w:hAnsi="Calibri" w:cs="Calibri"/>
                <w:kern w:val="0"/>
                <w:lang w:val="es-ES" w:eastAsia="en-GB"/>
                <w14:ligatures w14:val="none"/>
              </w:rPr>
              <w:t>Name: Registro Nacional de Reducción de las Emisiones de Gases de Efecto Invernadero (GEl)</w:t>
            </w:r>
          </w:p>
          <w:p w14:paraId="32545AD6" w14:textId="77777777" w:rsidR="0033605C" w:rsidRPr="0033605C" w:rsidRDefault="0033605C" w:rsidP="0033605C">
            <w:pPr>
              <w:textAlignment w:val="baseline"/>
              <w:rPr>
                <w:rFonts w:ascii="Calibri" w:eastAsia="Times New Roman" w:hAnsi="Calibri" w:cs="Calibri"/>
                <w:kern w:val="0"/>
                <w:lang w:val="en-US" w:eastAsia="en-GB"/>
                <w14:ligatures w14:val="none"/>
              </w:rPr>
            </w:pPr>
            <w:r w:rsidRPr="0033605C">
              <w:rPr>
                <w:rFonts w:ascii="Calibri" w:eastAsia="Times New Roman" w:hAnsi="Calibri" w:cs="Calibri"/>
                <w:kern w:val="0"/>
                <w:lang w:val="en-US" w:eastAsia="en-GB"/>
                <w14:ligatures w14:val="none"/>
              </w:rPr>
              <w:t>Administered by: The Ministry of Environment and Sustainable Development</w:t>
            </w:r>
          </w:p>
          <w:p w14:paraId="692D9869" w14:textId="77777777" w:rsidR="0033605C" w:rsidRPr="0033605C" w:rsidRDefault="0033605C" w:rsidP="0033605C">
            <w:pPr>
              <w:textAlignment w:val="baseline"/>
              <w:rPr>
                <w:rFonts w:ascii="Calibri" w:eastAsia="Times New Roman" w:hAnsi="Calibri" w:cs="Calibri"/>
                <w:kern w:val="0"/>
                <w:lang w:val="en-US" w:eastAsia="en-GB"/>
                <w14:ligatures w14:val="none"/>
              </w:rPr>
            </w:pPr>
            <w:r w:rsidRPr="0033605C">
              <w:rPr>
                <w:rFonts w:ascii="Calibri" w:eastAsia="Times New Roman" w:hAnsi="Calibri" w:cs="Calibri"/>
                <w:kern w:val="0"/>
                <w:lang w:val="en-US" w:eastAsia="en-GB"/>
                <w14:ligatures w14:val="none"/>
              </w:rPr>
              <w:t>Referenced in:</w:t>
            </w:r>
          </w:p>
          <w:p w14:paraId="153CD7BA" w14:textId="77777777" w:rsidR="0033605C" w:rsidRPr="0033605C" w:rsidRDefault="0033605C" w:rsidP="0033605C">
            <w:pPr>
              <w:textAlignment w:val="baseline"/>
              <w:rPr>
                <w:rFonts w:ascii="Calibri" w:eastAsia="Times New Roman" w:hAnsi="Calibri" w:cs="Calibri"/>
                <w:kern w:val="0"/>
                <w:lang w:val="en-US" w:eastAsia="en-GB"/>
                <w14:ligatures w14:val="none"/>
              </w:rPr>
            </w:pPr>
            <w:r w:rsidRPr="0033605C">
              <w:rPr>
                <w:rFonts w:ascii="Calibri" w:eastAsia="Times New Roman" w:hAnsi="Calibri" w:cs="Calibri"/>
                <w:kern w:val="0"/>
                <w:lang w:val="en-US" w:eastAsia="en-GB"/>
                <w14:ligatures w14:val="none"/>
              </w:rPr>
              <w:t>Article 2.2.11.2.1 (numerals 2 and 5): Credits must be registered and cancelled in this registry to be eligible for carbon neutrality certification.</w:t>
            </w:r>
          </w:p>
          <w:p w14:paraId="5A2CBD68" w14:textId="77777777" w:rsidR="0033605C" w:rsidRPr="0033605C" w:rsidRDefault="0033605C" w:rsidP="0033605C">
            <w:pPr>
              <w:textAlignment w:val="baseline"/>
              <w:rPr>
                <w:rFonts w:ascii="Calibri" w:eastAsia="Times New Roman" w:hAnsi="Calibri" w:cs="Calibri"/>
                <w:kern w:val="0"/>
                <w:lang w:val="en-US" w:eastAsia="en-GB"/>
                <w14:ligatures w14:val="none"/>
              </w:rPr>
            </w:pPr>
            <w:r w:rsidRPr="0033605C">
              <w:rPr>
                <w:rFonts w:ascii="Calibri" w:eastAsia="Times New Roman" w:hAnsi="Calibri" w:cs="Calibri"/>
                <w:kern w:val="0"/>
                <w:lang w:val="en-US" w:eastAsia="en-GB"/>
                <w14:ligatures w14:val="none"/>
              </w:rPr>
              <w:t>Article 4: Establishes a transition regime requiring entities to submit documentation to the Ministry until the registry becomes operational.</w:t>
            </w:r>
          </w:p>
          <w:p w14:paraId="016B1986" w14:textId="77777777" w:rsidR="0033605C" w:rsidRPr="0033605C" w:rsidRDefault="0033605C" w:rsidP="0033605C">
            <w:pPr>
              <w:textAlignment w:val="baseline"/>
              <w:rPr>
                <w:rFonts w:ascii="Calibri" w:eastAsia="Times New Roman" w:hAnsi="Calibri" w:cs="Calibri"/>
                <w:kern w:val="0"/>
                <w:lang w:val="en-US" w:eastAsia="en-GB"/>
                <w14:ligatures w14:val="none"/>
              </w:rPr>
            </w:pPr>
            <w:r w:rsidRPr="0033605C">
              <w:rPr>
                <w:rFonts w:ascii="Calibri" w:eastAsia="Times New Roman" w:hAnsi="Calibri" w:cs="Calibri"/>
                <w:kern w:val="0"/>
                <w:lang w:val="en-US" w:eastAsia="en-GB"/>
                <w14:ligatures w14:val="none"/>
              </w:rPr>
              <w:t>Article 1.5.5.4 (numeral 5): Requires a copy of the registry report as part of the documentation for voluntary cancellation of credits.</w:t>
            </w:r>
          </w:p>
          <w:p w14:paraId="38C2165D" w14:textId="04BEDBE3"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7BC0F666" w:rsidR="00343937" w:rsidRPr="00CF2E7C" w:rsidRDefault="0033605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48AADB5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05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5DADDA4B" w:rsidR="00343937" w:rsidRPr="00CF2E7C" w:rsidRDefault="0033605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343937" w:rsidRPr="00CF2E7C">
              <w:rPr>
                <w:rFonts w:ascii="Calibri" w:eastAsia="Times New Roman" w:hAnsi="Calibri" w:cs="Calibri"/>
                <w:kern w:val="0"/>
                <w:lang w:val="en-US" w:eastAsia="en-GB"/>
                <w14:ligatures w14:val="none"/>
              </w:rPr>
              <w:t> </w:t>
            </w:r>
            <w:r w:rsidR="00343937"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19C5DD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05C">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16C8DED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05C">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3319C0F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605C">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CA7663" w14:textId="77777777" w:rsidR="00B23400" w:rsidRPr="00B23400"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t>1. Mandatory Use of a National Registry</w:t>
            </w:r>
          </w:p>
          <w:p w14:paraId="682CB211" w14:textId="77777777" w:rsidR="00B23400" w:rsidRPr="00B23400"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t>Reference: Article 1.5.5.4 (numeral 5) and Article 2.2.11.2.1 (numeral 5)</w:t>
            </w:r>
          </w:p>
          <w:p w14:paraId="15B82AFE" w14:textId="77777777" w:rsidR="00B23400" w:rsidRPr="00B23400"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t>Provision: All emission reductions or removals used to claim carbon neutrality must be:</w:t>
            </w:r>
          </w:p>
          <w:p w14:paraId="55560C91" w14:textId="77777777" w:rsidR="00B23400" w:rsidRPr="00B23400" w:rsidRDefault="00B23400" w:rsidP="00B23400">
            <w:pPr>
              <w:textAlignment w:val="baseline"/>
              <w:rPr>
                <w:rFonts w:ascii="Calibri" w:eastAsia="Times New Roman" w:hAnsi="Calibri" w:cs="Calibri"/>
                <w:kern w:val="0"/>
                <w:lang w:val="es-ES" w:eastAsia="en-GB"/>
                <w14:ligatures w14:val="none"/>
              </w:rPr>
            </w:pPr>
            <w:r w:rsidRPr="00B23400">
              <w:rPr>
                <w:rFonts w:ascii="Calibri" w:eastAsia="Times New Roman" w:hAnsi="Calibri" w:cs="Calibri"/>
                <w:kern w:val="0"/>
                <w:lang w:val="es-ES" w:eastAsia="en-GB"/>
                <w14:ligatures w14:val="none"/>
              </w:rPr>
              <w:t>Registered in the Registro Nacional de Reducción de las Emisiones de Gases de Efecto Invernadero (GEl).</w:t>
            </w:r>
          </w:p>
          <w:p w14:paraId="612CFCA7" w14:textId="77777777" w:rsidR="00B23400" w:rsidRPr="00B23400"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t>Accompanied by a status report from the registry confirming their cancellation.</w:t>
            </w:r>
          </w:p>
          <w:p w14:paraId="1EB9DACE" w14:textId="3CD35B58" w:rsidR="00B23400" w:rsidRPr="00B23400"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t>Purpose: This ensures transparency and traceability, preventing double issuance and double retirement of credits.</w:t>
            </w:r>
          </w:p>
          <w:p w14:paraId="5B0BCF06" w14:textId="25AAE1CF" w:rsidR="00B23400" w:rsidRPr="00B23400"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t xml:space="preserve"> 2. Prohibition on Reuse of Cancelled Credits</w:t>
            </w:r>
          </w:p>
          <w:p w14:paraId="6F12103D" w14:textId="77777777" w:rsidR="00B23400" w:rsidRPr="00793F63" w:rsidRDefault="00B23400" w:rsidP="00B23400">
            <w:pPr>
              <w:textAlignment w:val="baseline"/>
              <w:rPr>
                <w:rFonts w:ascii="Calibri" w:eastAsia="Times New Roman" w:hAnsi="Calibri" w:cs="Calibri"/>
                <w:kern w:val="0"/>
                <w:lang w:val="en-US" w:eastAsia="en-GB"/>
                <w14:ligatures w14:val="none"/>
              </w:rPr>
            </w:pPr>
            <w:r w:rsidRPr="00793F63">
              <w:rPr>
                <w:rFonts w:ascii="Calibri" w:eastAsia="Times New Roman" w:hAnsi="Calibri" w:cs="Calibri"/>
                <w:kern w:val="0"/>
                <w:lang w:val="en-US" w:eastAsia="en-GB"/>
                <w14:ligatures w14:val="none"/>
              </w:rPr>
              <w:t>Reference: Article 1.5.5.4, Parágrafo 2</w:t>
            </w:r>
          </w:p>
          <w:p w14:paraId="2305E60E" w14:textId="77777777" w:rsidR="00B23400" w:rsidRPr="00793F63" w:rsidRDefault="00B23400" w:rsidP="00B23400">
            <w:pPr>
              <w:textAlignment w:val="baseline"/>
              <w:rPr>
                <w:rFonts w:ascii="Calibri" w:eastAsia="Times New Roman" w:hAnsi="Calibri" w:cs="Calibri"/>
                <w:kern w:val="0"/>
                <w:lang w:val="en-US" w:eastAsia="en-GB"/>
                <w14:ligatures w14:val="none"/>
              </w:rPr>
            </w:pPr>
            <w:r w:rsidRPr="00793F63">
              <w:rPr>
                <w:rFonts w:ascii="Calibri" w:eastAsia="Times New Roman" w:hAnsi="Calibri" w:cs="Calibri"/>
                <w:kern w:val="0"/>
                <w:lang w:val="en-US" w:eastAsia="en-GB"/>
                <w14:ligatures w14:val="none"/>
              </w:rPr>
              <w:t>Provision:</w:t>
            </w:r>
          </w:p>
          <w:p w14:paraId="34575E29" w14:textId="77777777" w:rsidR="00B23400" w:rsidRPr="00B23400"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t>“Once emission reductions or removals are cancelled in favor of the taxpayer, they may not be transferred to any other natural or legal person, account, or registry.”</w:t>
            </w:r>
          </w:p>
          <w:p w14:paraId="7AEAD2AF" w14:textId="04A320F9" w:rsidR="00B23400" w:rsidRPr="00793F63"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t>Purpose: This clause directly prevents double use of the same credit by multiple parties.</w:t>
            </w:r>
          </w:p>
          <w:p w14:paraId="1DA18A26" w14:textId="256B6FC0" w:rsidR="00B23400" w:rsidRPr="00793F63" w:rsidRDefault="00B23400" w:rsidP="00B23400">
            <w:pPr>
              <w:textAlignment w:val="baseline"/>
              <w:rPr>
                <w:rFonts w:ascii="Calibri" w:eastAsia="Times New Roman" w:hAnsi="Calibri" w:cs="Calibri"/>
                <w:kern w:val="0"/>
                <w:lang w:val="en-US" w:eastAsia="en-GB"/>
                <w14:ligatures w14:val="none"/>
              </w:rPr>
            </w:pPr>
            <w:r w:rsidRPr="00793F63">
              <w:rPr>
                <w:rFonts w:ascii="Calibri" w:eastAsia="Times New Roman" w:hAnsi="Calibri" w:cs="Calibri"/>
                <w:kern w:val="0"/>
                <w:lang w:val="en-US" w:eastAsia="en-GB"/>
                <w14:ligatures w14:val="none"/>
              </w:rPr>
              <w:t>3. Serial Numbering of Credits</w:t>
            </w:r>
          </w:p>
          <w:p w14:paraId="593D8FF9" w14:textId="77777777" w:rsidR="00B23400" w:rsidRPr="00793F63" w:rsidRDefault="00B23400" w:rsidP="00B23400">
            <w:pPr>
              <w:textAlignment w:val="baseline"/>
              <w:rPr>
                <w:rFonts w:ascii="Calibri" w:eastAsia="Times New Roman" w:hAnsi="Calibri" w:cs="Calibri"/>
                <w:kern w:val="0"/>
                <w:lang w:val="en-US" w:eastAsia="en-GB"/>
                <w14:ligatures w14:val="none"/>
              </w:rPr>
            </w:pPr>
            <w:r w:rsidRPr="00793F63">
              <w:rPr>
                <w:rFonts w:ascii="Calibri" w:eastAsia="Times New Roman" w:hAnsi="Calibri" w:cs="Calibri"/>
                <w:kern w:val="0"/>
                <w:lang w:val="en-US" w:eastAsia="en-GB"/>
                <w14:ligatures w14:val="none"/>
              </w:rPr>
              <w:t>Reference: Article 2.2.11.2.1, Parágrafo 3</w:t>
            </w:r>
          </w:p>
          <w:p w14:paraId="29C917D4" w14:textId="77777777" w:rsidR="00B23400" w:rsidRPr="00B23400"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lastRenderedPageBreak/>
              <w:t>Provision: Each ton of CO₂e reduced or removed must be assigned a unique serial number by the certification program or carbon standard.</w:t>
            </w:r>
          </w:p>
          <w:p w14:paraId="22A3E7B9" w14:textId="77777777" w:rsidR="00B23400" w:rsidRPr="00B23400"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t>Purpose: This supports tracking and verification of individual credits and helps prevent duplication.</w:t>
            </w:r>
          </w:p>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6200A5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4DDE780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6AAEEE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53F5C01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E4E280" w14:textId="77777777" w:rsidR="00B23400" w:rsidRPr="00793F63" w:rsidRDefault="00B23400" w:rsidP="00B23400">
            <w:pPr>
              <w:textAlignment w:val="baseline"/>
              <w:rPr>
                <w:rFonts w:ascii="Calibri" w:eastAsia="Times New Roman" w:hAnsi="Calibri" w:cs="Calibri"/>
                <w:kern w:val="0"/>
                <w:lang w:val="en-US" w:eastAsia="en-GB"/>
                <w14:ligatures w14:val="none"/>
              </w:rPr>
            </w:pPr>
            <w:r w:rsidRPr="00793F63">
              <w:rPr>
                <w:rFonts w:ascii="Calibri" w:eastAsia="Times New Roman" w:hAnsi="Calibri" w:cs="Calibri"/>
                <w:kern w:val="0"/>
                <w:lang w:val="en-US" w:eastAsia="en-GB"/>
                <w14:ligatures w14:val="none"/>
              </w:rPr>
              <w:t>The decree focuses on:</w:t>
            </w:r>
          </w:p>
          <w:p w14:paraId="1ED215AE" w14:textId="77777777" w:rsidR="00B23400" w:rsidRPr="00B23400"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t>Eligibility criteria for carbon neutrality certification.</w:t>
            </w:r>
          </w:p>
          <w:p w14:paraId="7C966B21" w14:textId="77777777" w:rsidR="00B23400" w:rsidRPr="00B23400"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t>Procedures for exemption from the national carbon tax.</w:t>
            </w:r>
          </w:p>
          <w:p w14:paraId="3198D6A9" w14:textId="77777777" w:rsidR="00B23400" w:rsidRPr="00B23400"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t>Verification and cancellation of emission reductions or removals.</w:t>
            </w:r>
          </w:p>
          <w:p w14:paraId="4F6FED08" w14:textId="77777777" w:rsidR="00B23400" w:rsidRPr="00B23400"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t>Use of a national registry to track credits.</w:t>
            </w:r>
          </w:p>
          <w:p w14:paraId="13E52B5E" w14:textId="77777777" w:rsidR="00B23400" w:rsidRPr="00B23400"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t>However, it does not address how any financial revenues—whether from the sale, trade, or use of carbon credits—should be allocated, distributed, or reinvested. There are no references to benefit-sharing, reinvestment in environmental programs, or administrative funding mechanisms in the text of the decree.</w:t>
            </w:r>
          </w:p>
          <w:p w14:paraId="40CFF5A4" w14:textId="091A4511" w:rsidR="00343937" w:rsidRPr="00B23400"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32BB1534" w:rsidR="000A6F11" w:rsidRPr="00CF2E7C" w:rsidRDefault="00B2340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518E7A3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61F27D5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2EBF871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04AF3DD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2402189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51E39CC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F764FB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8DC164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2E4FD8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0D6D708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093F167" w14:textId="77777777" w:rsidR="00B23400" w:rsidRPr="00A8251C" w:rsidRDefault="00047A9C"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eastAsia="en-GB"/>
                <w14:ligatures w14:val="none"/>
              </w:rPr>
              <w:t> </w:t>
            </w:r>
            <w:r w:rsidR="00B23400" w:rsidRPr="00B23400">
              <w:rPr>
                <w:rFonts w:ascii="Calibri" w:eastAsia="Times New Roman" w:hAnsi="Calibri" w:cs="Calibri"/>
                <w:kern w:val="0"/>
                <w:lang w:val="en-US" w:eastAsia="en-GB"/>
                <w14:ligatures w14:val="none"/>
              </w:rPr>
              <w:t xml:space="preserve">Decree 926 of 2017 sets mandatory requirements for third-party certification of carbon credits. </w:t>
            </w:r>
            <w:r w:rsidR="00B23400" w:rsidRPr="00A8251C">
              <w:rPr>
                <w:rFonts w:ascii="Calibri" w:eastAsia="Times New Roman" w:hAnsi="Calibri" w:cs="Calibri"/>
                <w:kern w:val="0"/>
                <w:lang w:val="en-US" w:eastAsia="en-GB"/>
                <w14:ligatures w14:val="none"/>
              </w:rPr>
              <w:t>Specifically:</w:t>
            </w:r>
          </w:p>
          <w:p w14:paraId="56A0E398" w14:textId="77777777" w:rsidR="00B23400" w:rsidRPr="00B23400"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t>Accreditation: Verifiers must be accredited by the Organismo Nacional de Acreditación de Colombia (ONAC) or by an international accreditation body that is a signatory to the IAF Mutual Recognition Agreement (MLA) (Article 2.2.11.1.2).</w:t>
            </w:r>
          </w:p>
          <w:p w14:paraId="75481CA0" w14:textId="77777777" w:rsidR="00B23400" w:rsidRPr="00B23400"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t>Verification Standards: The decree requires that emission reductions or removals be verified using methodologies aligned with ISO 14064-2:2006 and verified under ISO 14064-3 or their updated equivalents (Article 2.2.11.1.2).</w:t>
            </w:r>
          </w:p>
          <w:p w14:paraId="6A7F213B" w14:textId="77777777" w:rsidR="00B23400" w:rsidRPr="00B23400"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t>Conflict of Interest Safeguards: Verifiers must be independent third parties, and the decree references conformity assessment standards that inherently include impartiality and conflict of interest safeguards (Article 2.2.11.1.1).</w:t>
            </w:r>
          </w:p>
          <w:p w14:paraId="2A2ABF0F" w14:textId="77777777" w:rsidR="00B23400" w:rsidRPr="00B23400" w:rsidRDefault="00B23400" w:rsidP="00B23400">
            <w:pPr>
              <w:textAlignment w:val="baseline"/>
              <w:rPr>
                <w:rFonts w:ascii="Calibri" w:eastAsia="Times New Roman" w:hAnsi="Calibri" w:cs="Calibri"/>
                <w:kern w:val="0"/>
                <w:lang w:val="en-US" w:eastAsia="en-GB"/>
                <w14:ligatures w14:val="none"/>
              </w:rPr>
            </w:pPr>
            <w:r w:rsidRPr="00B23400">
              <w:rPr>
                <w:rFonts w:ascii="Calibri" w:eastAsia="Times New Roman" w:hAnsi="Calibri" w:cs="Calibri"/>
                <w:kern w:val="0"/>
                <w:lang w:val="en-US" w:eastAsia="en-GB"/>
                <w14:ligatures w14:val="none"/>
              </w:rPr>
              <w:t>CDM Verifiers: Until December 31, 2018, verifiers accredited by the CDM Executive Board (Designated Operational Entities) were accepted. After that, only verifiers accredited under the decree’s national or IAF-aligned standards are valid (Article 2.2.11.1.3).</w:t>
            </w:r>
          </w:p>
          <w:p w14:paraId="05FDFDA2" w14:textId="44F06822"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5758520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24EE09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570B77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6E03611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12B05B1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3400">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4DE2760" w14:textId="77777777" w:rsidR="00A8251C" w:rsidRPr="00A8251C" w:rsidRDefault="00047A9C" w:rsidP="00A8251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eastAsia="en-GB"/>
                <w14:ligatures w14:val="none"/>
              </w:rPr>
              <w:t> </w:t>
            </w:r>
            <w:r w:rsidR="00A8251C" w:rsidRPr="00A8251C">
              <w:rPr>
                <w:rFonts w:ascii="Calibri" w:eastAsia="Times New Roman" w:hAnsi="Calibri" w:cs="Calibri"/>
                <w:kern w:val="0"/>
                <w:lang w:val="en-US" w:eastAsia="en-GB"/>
                <w14:ligatures w14:val="none"/>
              </w:rPr>
              <w:t>Decree 926 of 2017 does not explicitly mention the term “additionality”, nor does it require or recommend any of the standard analytical approaches (e.g., barrier analysis, investment analysis, dynamic baselines) typically used to demonstrate additionality in carbon crediting frameworks.</w:t>
            </w:r>
          </w:p>
          <w:p w14:paraId="2999428D"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Instead, the decree focuses on:</w:t>
            </w:r>
          </w:p>
          <w:p w14:paraId="779AE94B"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The verification and cancellation of emission reductions or removals.</w:t>
            </w:r>
          </w:p>
          <w:p w14:paraId="0CF4ECCB"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The eligibility criteria for carbon credits to be used for carbon neutrality certification and tax exemption.</w:t>
            </w:r>
          </w:p>
          <w:p w14:paraId="2B2CD5AE"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The registration of credits in the national registry.</w:t>
            </w:r>
          </w:p>
          <w:p w14:paraId="720E34F2"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While these mechanisms ensure traceability and integrity, they do not address whether the emission reductions would have occurred in the absence of carbon credit revenues, which is the core of the additionality principle.</w:t>
            </w:r>
          </w:p>
          <w:p w14:paraId="29357060" w14:textId="261225B8" w:rsidR="00047A9C" w:rsidRPr="00A8251C" w:rsidRDefault="00047A9C" w:rsidP="00CF2E7C">
            <w:pPr>
              <w:textAlignment w:val="baseline"/>
              <w:rPr>
                <w:rFonts w:ascii="Calibri" w:eastAsia="Times New Roman" w:hAnsi="Calibri" w:cs="Calibri"/>
                <w:kern w:val="0"/>
                <w:lang w:val="en-US"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1748214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251C">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45318D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251C">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19034A7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251C">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2E4C04F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251C">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CDFAA25" w14:textId="070326C4"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The decree defines eligible credits as those that are:</w:t>
            </w:r>
          </w:p>
          <w:p w14:paraId="4B8F03FD"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Verified by an accredited third party (Article 1.5.5.5).</w:t>
            </w:r>
          </w:p>
          <w:p w14:paraId="4898E3BE" w14:textId="77777777" w:rsidR="00A8251C" w:rsidRPr="00A8251C" w:rsidRDefault="00A8251C" w:rsidP="00A8251C">
            <w:pPr>
              <w:textAlignment w:val="baseline"/>
              <w:rPr>
                <w:rFonts w:ascii="Calibri" w:eastAsia="Times New Roman" w:hAnsi="Calibri" w:cs="Calibri"/>
                <w:kern w:val="0"/>
                <w:lang w:val="es-ES" w:eastAsia="en-GB"/>
                <w14:ligatures w14:val="none"/>
              </w:rPr>
            </w:pPr>
            <w:r w:rsidRPr="00A8251C">
              <w:rPr>
                <w:rFonts w:ascii="Calibri" w:eastAsia="Times New Roman" w:hAnsi="Calibri" w:cs="Calibri"/>
                <w:kern w:val="0"/>
                <w:lang w:val="es-ES" w:eastAsia="en-GB"/>
                <w14:ligatures w14:val="none"/>
              </w:rPr>
              <w:t>Registered and cancelled in the Registro Nacional de Reducción de las Emisiones de Gases de Efecto Invernadero (GEl) (Article 1.5.5.4).</w:t>
            </w:r>
          </w:p>
          <w:p w14:paraId="2C65B9E7"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Generated using methodologies from the Clean Development Mechanism (CDM) or other recognized standards (Article 2.2.11.2.1).</w:t>
            </w:r>
          </w:p>
          <w:p w14:paraId="5599B081"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However, it does not specify:</w:t>
            </w:r>
          </w:p>
          <w:p w14:paraId="041519B0"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A minimum duration for which carbon must remain sequestered.</w:t>
            </w:r>
          </w:p>
          <w:p w14:paraId="388719BA"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Any buffer mechanisms, reversal risk assessments, or insurance requirements.</w:t>
            </w:r>
          </w:p>
          <w:p w14:paraId="31F2D587"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Any distinction between credit types based on permanence risk (e.g., nature-based vs. engineered removals).</w:t>
            </w:r>
          </w:p>
          <w:p w14:paraId="0FE0C2C7" w14:textId="4BF67788" w:rsidR="00047A9C" w:rsidRPr="00A8251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497D9A3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251C">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291BAD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251C">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5BB9D74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251C">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0384540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251C">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069746F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251C">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48B1A3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251C">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2012763" w14:textId="77777777" w:rsidR="00A8251C" w:rsidRPr="00793F63" w:rsidRDefault="00047A9C" w:rsidP="00A8251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eastAsia="en-GB"/>
                <w14:ligatures w14:val="none"/>
              </w:rPr>
              <w:t> </w:t>
            </w:r>
            <w:r w:rsidR="00A8251C" w:rsidRPr="00793F63">
              <w:rPr>
                <w:rFonts w:ascii="Calibri" w:eastAsia="Times New Roman" w:hAnsi="Calibri" w:cs="Calibri"/>
                <w:kern w:val="0"/>
                <w:lang w:val="en-US" w:eastAsia="en-GB"/>
                <w14:ligatures w14:val="none"/>
              </w:rPr>
              <w:t>The decree focuses on:</w:t>
            </w:r>
          </w:p>
          <w:p w14:paraId="4150D842"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Verification and cancellation of emission reductions or removals (Articles 1.5.5.3 to 1.5.5.5).</w:t>
            </w:r>
          </w:p>
          <w:p w14:paraId="558526E7" w14:textId="77777777" w:rsidR="00A8251C" w:rsidRPr="00A8251C" w:rsidRDefault="00A8251C" w:rsidP="00A8251C">
            <w:pPr>
              <w:textAlignment w:val="baseline"/>
              <w:rPr>
                <w:rFonts w:ascii="Calibri" w:eastAsia="Times New Roman" w:hAnsi="Calibri" w:cs="Calibri"/>
                <w:kern w:val="0"/>
                <w:lang w:val="es-ES" w:eastAsia="en-GB"/>
                <w14:ligatures w14:val="none"/>
              </w:rPr>
            </w:pPr>
            <w:r w:rsidRPr="00A8251C">
              <w:rPr>
                <w:rFonts w:ascii="Calibri" w:eastAsia="Times New Roman" w:hAnsi="Calibri" w:cs="Calibri"/>
                <w:kern w:val="0"/>
                <w:lang w:val="es-ES" w:eastAsia="en-GB"/>
                <w14:ligatures w14:val="none"/>
              </w:rPr>
              <w:t>Registration of credits in the Registro Nacional de Reducción de las Emisiones de Gases de Efecto Invernadero (GEl) (Article 2.2.11.2.1).</w:t>
            </w:r>
          </w:p>
          <w:p w14:paraId="70325E55"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lastRenderedPageBreak/>
              <w:t>Traceability through unique serial numbers for each ton of CO₂e reduced or removed (Article 2.2.11.2.1, Parágrafo 3).</w:t>
            </w:r>
          </w:p>
          <w:p w14:paraId="5759CABA"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Prohibition of reuse: Once credits are cancelled in favor of a taxpayer, they cannot be transferred to another person, account, or registry (Article 1.5.5.4, Parágrafo 2).</w:t>
            </w:r>
          </w:p>
          <w:p w14:paraId="2AC3387C"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However, the decree does not:</w:t>
            </w:r>
          </w:p>
          <w:p w14:paraId="1E5AAAA4"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Mention the concept of reversal or permanence.</w:t>
            </w:r>
          </w:p>
          <w:p w14:paraId="175114E5"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Require buffer pools, insurance, or monitoring of reversal risk.</w:t>
            </w:r>
          </w:p>
          <w:p w14:paraId="1C9B5B54"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Distinguish between credit types based on reversal vulnerability (e.g., nature-based vs. engineered removals).</w:t>
            </w:r>
          </w:p>
          <w:p w14:paraId="0F0B5998"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These omissions mean that while the decree ensures traceability and exclusivity of credits, it does not address the risk that credited emissions reductions might later be reversed—leaving a gap in environmental integrity safeguards.</w:t>
            </w:r>
          </w:p>
          <w:p w14:paraId="773FCD5C" w14:textId="4178D8E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52C4B57D" w:rsidR="00DD694D" w:rsidRPr="00CF2E7C" w:rsidRDefault="00A825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CF3C124" w14:textId="77777777" w:rsidR="00A8251C" w:rsidRPr="00A8251C" w:rsidRDefault="00A8251C" w:rsidP="00A8251C">
            <w:pPr>
              <w:textAlignment w:val="baseline"/>
              <w:rPr>
                <w:rFonts w:ascii="Calibri" w:eastAsia="Times New Roman" w:hAnsi="Calibri" w:cs="Calibri"/>
                <w:kern w:val="0"/>
                <w:lang w:val="es-ES" w:eastAsia="en-GB"/>
                <w14:ligatures w14:val="none"/>
              </w:rPr>
            </w:pPr>
            <w:r w:rsidRPr="00A8251C">
              <w:rPr>
                <w:rFonts w:ascii="Calibri" w:eastAsia="Times New Roman" w:hAnsi="Calibri" w:cs="Calibri"/>
                <w:kern w:val="0"/>
                <w:lang w:val="es-ES" w:eastAsia="en-GB"/>
                <w14:ligatures w14:val="none"/>
              </w:rPr>
              <w:t>1. Use of ISO Standards</w:t>
            </w:r>
          </w:p>
          <w:p w14:paraId="4E454A9C"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Article 2.2.11.1.2 requires that emission reductions or removals be quantified using methodologies aligned with:</w:t>
            </w:r>
          </w:p>
          <w:p w14:paraId="534C15EB"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ISO 14064-2:2006 (for project-level quantification), and</w:t>
            </w:r>
          </w:p>
          <w:p w14:paraId="28F1AAA5" w14:textId="77777777" w:rsidR="00A8251C" w:rsidRPr="00793F63" w:rsidRDefault="00A8251C" w:rsidP="00A8251C">
            <w:pPr>
              <w:textAlignment w:val="baseline"/>
              <w:rPr>
                <w:rFonts w:ascii="Calibri" w:eastAsia="Times New Roman" w:hAnsi="Calibri" w:cs="Calibri"/>
                <w:kern w:val="0"/>
                <w:lang w:val="en-US" w:eastAsia="en-GB"/>
                <w14:ligatures w14:val="none"/>
              </w:rPr>
            </w:pPr>
            <w:r w:rsidRPr="00793F63">
              <w:rPr>
                <w:rFonts w:ascii="Calibri" w:eastAsia="Times New Roman" w:hAnsi="Calibri" w:cs="Calibri"/>
                <w:kern w:val="0"/>
                <w:lang w:val="en-US" w:eastAsia="en-GB"/>
                <w14:ligatures w14:val="none"/>
              </w:rPr>
              <w:t>ISO 14064-3 (for verification procedures).</w:t>
            </w:r>
          </w:p>
          <w:p w14:paraId="20A58E98" w14:textId="5D01CFCD"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These standards ensure consistency, transparency, and scientific rigor in quantifying GHG reductions </w:t>
            </w:r>
          </w:p>
          <w:p w14:paraId="0A5C1352" w14:textId="77777777" w:rsidR="00A8251C" w:rsidRPr="00793F63" w:rsidRDefault="00A8251C" w:rsidP="00A8251C">
            <w:pPr>
              <w:textAlignment w:val="baseline"/>
              <w:rPr>
                <w:rFonts w:ascii="Calibri" w:eastAsia="Times New Roman" w:hAnsi="Calibri" w:cs="Calibri"/>
                <w:kern w:val="0"/>
                <w:lang w:val="en-US" w:eastAsia="en-GB"/>
                <w14:ligatures w14:val="none"/>
              </w:rPr>
            </w:pPr>
            <w:r w:rsidRPr="00793F63">
              <w:rPr>
                <w:rFonts w:ascii="Calibri" w:eastAsia="Times New Roman" w:hAnsi="Calibri" w:cs="Calibri"/>
                <w:kern w:val="0"/>
                <w:lang w:val="en-US" w:eastAsia="en-GB"/>
                <w14:ligatures w14:val="none"/>
              </w:rPr>
              <w:t>2. Approved Methodologies</w:t>
            </w:r>
          </w:p>
          <w:p w14:paraId="095DE9D0"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Article 2.2.11.2.1 specifies that eligible reductions/removals must be generated using one of the following:</w:t>
            </w:r>
          </w:p>
          <w:p w14:paraId="72DF8CCD"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CDM methodologies (Clean Development Mechanism) [Art. 2.2.11.2.1, numeral 3.1].</w:t>
            </w:r>
          </w:p>
          <w:p w14:paraId="0529962D"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Methodologies from certification programs or carbon standards, which must:</w:t>
            </w:r>
          </w:p>
          <w:p w14:paraId="27730002" w14:textId="77777777" w:rsidR="00A8251C" w:rsidRPr="00A8251C" w:rsidRDefault="00A8251C" w:rsidP="00A8251C">
            <w:pPr>
              <w:textAlignment w:val="baseline"/>
              <w:rPr>
                <w:rFonts w:ascii="Calibri" w:eastAsia="Times New Roman" w:hAnsi="Calibri" w:cs="Calibri"/>
                <w:kern w:val="0"/>
                <w:lang w:val="es-ES" w:eastAsia="en-GB"/>
                <w14:ligatures w14:val="none"/>
              </w:rPr>
            </w:pPr>
            <w:r w:rsidRPr="00A8251C">
              <w:rPr>
                <w:rFonts w:ascii="Calibri" w:eastAsia="Times New Roman" w:hAnsi="Calibri" w:cs="Calibri"/>
                <w:kern w:val="0"/>
                <w:lang w:val="es-ES" w:eastAsia="en-GB"/>
                <w14:ligatures w14:val="none"/>
              </w:rPr>
              <w:t>Be publicly consulted.</w:t>
            </w:r>
          </w:p>
          <w:p w14:paraId="01D42765"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Be verifiable by an accredited third party.</w:t>
            </w:r>
          </w:p>
          <w:p w14:paraId="3E156E86" w14:textId="0FDCD3D5"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Be issued by the UNFCCC, recognized by the Colombian government, or meet REDD+ registration requirements [Art. 2.2.11.2.1, numeral 3.2].</w:t>
            </w:r>
          </w:p>
          <w:p w14:paraId="573DCDAA"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lastRenderedPageBreak/>
              <w:t>3. Technical Annex for Fuel-Based Emissions</w:t>
            </w:r>
          </w:p>
          <w:p w14:paraId="264CCABD" w14:textId="4834776B"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The Anexo Técnico IV provides conversion factors to calculate CO₂ equivalent emissions from fossil fuel use (e.g., 9.867 kg CO₂/gal for kerosene). These are used to determine the amount of emissions that must be neutralized to qualify for tax exemption </w:t>
            </w:r>
          </w:p>
          <w:p w14:paraId="6B0A79AB"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4. Serial Numbering and Registry</w:t>
            </w:r>
          </w:p>
          <w:p w14:paraId="0BEA7A21"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Each ton of CO₂e must be assigned a unique serial number and registered in the Registro Nacional de Reducción de las Emisiones de Gases de Efecto Invernadero (GEl) to ensure traceability and prevent double counting [Art. 2.2.11.2.1, Parágrafo 3].</w:t>
            </w:r>
          </w:p>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3F36A66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251C">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2E9A7B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251C">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8AA01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251C">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1C2D3BD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251C">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0E5CC5A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251C">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181658E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8251C">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48131DEE" w:rsidR="00B87C89" w:rsidRPr="00CF2E7C" w:rsidRDefault="00A825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A8251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3747E1D"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The decree does not specify a maximum proportion of an entity’s emissions that can be offset. However, it does state that:</w:t>
            </w:r>
          </w:p>
          <w:p w14:paraId="37171140"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“The amount of fuel for which the tax is not triggered must not exceed the amount associated with the verified emission reductions” (Article 1.5.5.3, paragraph 2).</w:t>
            </w:r>
          </w:p>
          <w:p w14:paraId="0AFDA19D" w14:textId="77777777" w:rsidR="00A8251C" w:rsidRPr="00A8251C" w:rsidRDefault="00A8251C" w:rsidP="00A8251C">
            <w:pPr>
              <w:textAlignment w:val="baseline"/>
              <w:rPr>
                <w:rFonts w:ascii="Calibri" w:eastAsia="Times New Roman" w:hAnsi="Calibri" w:cs="Calibri"/>
                <w:kern w:val="0"/>
                <w:lang w:val="en-US" w:eastAsia="en-GB"/>
                <w14:ligatures w14:val="none"/>
              </w:rPr>
            </w:pPr>
            <w:r w:rsidRPr="00A8251C">
              <w:rPr>
                <w:rFonts w:ascii="Calibri" w:eastAsia="Times New Roman" w:hAnsi="Calibri" w:cs="Calibri"/>
                <w:kern w:val="0"/>
                <w:lang w:val="en-US" w:eastAsia="en-GB"/>
                <w14:ligatures w14:val="none"/>
              </w:rPr>
              <w:t>This implies a 1:1 equivalence between the emissions associated with fuel use and the verified emission reductions or removals used to offset them.</w:t>
            </w:r>
          </w:p>
          <w:p w14:paraId="35F7AE3A" w14:textId="4FF04E82" w:rsidR="00B87C89" w:rsidRPr="00A8251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041EF9F3" w:rsidR="002119B6" w:rsidRPr="00CF2E7C" w:rsidRDefault="002A22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33678B1D" w:rsidR="002119B6" w:rsidRPr="00CF2E7C" w:rsidRDefault="002A22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FC229BB" w14:textId="77777777" w:rsidR="002A22F0" w:rsidRPr="002A22F0" w:rsidRDefault="002A22F0" w:rsidP="002A22F0">
            <w:pPr>
              <w:textAlignment w:val="baseline"/>
              <w:rPr>
                <w:rFonts w:ascii="Calibri" w:eastAsia="Times New Roman" w:hAnsi="Calibri" w:cs="Calibri"/>
                <w:kern w:val="0"/>
                <w:lang w:val="en-US" w:eastAsia="en-GB"/>
                <w14:ligatures w14:val="none"/>
              </w:rPr>
            </w:pPr>
            <w:r w:rsidRPr="002A22F0">
              <w:rPr>
                <w:rFonts w:ascii="Calibri" w:eastAsia="Times New Roman" w:hAnsi="Calibri" w:cs="Calibri"/>
                <w:kern w:val="0"/>
                <w:lang w:val="en-US" w:eastAsia="en-GB"/>
                <w14:ligatures w14:val="none"/>
              </w:rPr>
              <w:t>Decree 926 of 2017 allows credits to be used for offsetting the national carbon tax only if they meet specific eligibility criteria, which include:</w:t>
            </w:r>
          </w:p>
          <w:p w14:paraId="26C7A2FB" w14:textId="77777777" w:rsidR="002A22F0" w:rsidRPr="002A22F0" w:rsidRDefault="002A22F0">
            <w:pPr>
              <w:numPr>
                <w:ilvl w:val="0"/>
                <w:numId w:val="5"/>
              </w:numPr>
              <w:textAlignment w:val="baseline"/>
              <w:rPr>
                <w:rFonts w:ascii="Calibri" w:eastAsia="Times New Roman" w:hAnsi="Calibri" w:cs="Calibri"/>
                <w:kern w:val="0"/>
                <w:lang w:val="es-ES" w:eastAsia="en-GB"/>
                <w14:ligatures w14:val="none"/>
              </w:rPr>
            </w:pPr>
            <w:r w:rsidRPr="002A22F0">
              <w:rPr>
                <w:rFonts w:ascii="Calibri" w:eastAsia="Times New Roman" w:hAnsi="Calibri" w:cs="Calibri"/>
                <w:kern w:val="0"/>
                <w:lang w:val="es-ES" w:eastAsia="en-GB"/>
                <w14:ligatures w14:val="none"/>
              </w:rPr>
              <w:t>Geographic Origin:</w:t>
            </w:r>
          </w:p>
          <w:p w14:paraId="53C44BED" w14:textId="77777777" w:rsidR="002A22F0" w:rsidRPr="002A22F0" w:rsidRDefault="002A22F0" w:rsidP="002A22F0">
            <w:pPr>
              <w:textAlignment w:val="baseline"/>
              <w:rPr>
                <w:rFonts w:ascii="Calibri" w:eastAsia="Times New Roman" w:hAnsi="Calibri" w:cs="Calibri"/>
                <w:kern w:val="0"/>
                <w:lang w:val="en-US" w:eastAsia="en-GB"/>
                <w14:ligatures w14:val="none"/>
              </w:rPr>
            </w:pPr>
            <w:r w:rsidRPr="002A22F0">
              <w:rPr>
                <w:rFonts w:ascii="Calibri" w:eastAsia="Times New Roman" w:hAnsi="Calibri" w:cs="Calibri"/>
                <w:kern w:val="0"/>
                <w:lang w:val="en-US" w:eastAsia="en-GB"/>
                <w14:ligatures w14:val="none"/>
              </w:rPr>
              <w:t>Credits must be generated from initiatives developed in Colombia (Article 2.2.11.2.1, numeral 1).</w:t>
            </w:r>
          </w:p>
          <w:p w14:paraId="2CA1ADA6" w14:textId="77777777" w:rsidR="002A22F0" w:rsidRPr="002A22F0" w:rsidRDefault="002A22F0" w:rsidP="002A22F0">
            <w:pPr>
              <w:textAlignment w:val="baseline"/>
              <w:rPr>
                <w:rFonts w:ascii="Calibri" w:eastAsia="Times New Roman" w:hAnsi="Calibri" w:cs="Calibri"/>
                <w:kern w:val="0"/>
                <w:lang w:val="en-US" w:eastAsia="en-GB"/>
                <w14:ligatures w14:val="none"/>
              </w:rPr>
            </w:pPr>
            <w:r w:rsidRPr="002A22F0">
              <w:rPr>
                <w:rFonts w:ascii="Calibri" w:eastAsia="Times New Roman" w:hAnsi="Calibri" w:cs="Calibri"/>
                <w:kern w:val="0"/>
                <w:lang w:val="en-US" w:eastAsia="en-GB"/>
                <w14:ligatures w14:val="none"/>
              </w:rPr>
              <w:lastRenderedPageBreak/>
              <w:t>Exceptionally, credits from international initiatives were allowed only until December 31, 2017, and only if they followed methodologies described in numeral 3.2 (Article 2.2.11.2.1, Parágrafo 4).</w:t>
            </w:r>
          </w:p>
          <w:p w14:paraId="518F7805" w14:textId="77777777" w:rsidR="002A22F0" w:rsidRPr="002A22F0" w:rsidRDefault="002A22F0">
            <w:pPr>
              <w:numPr>
                <w:ilvl w:val="0"/>
                <w:numId w:val="5"/>
              </w:numPr>
              <w:textAlignment w:val="baseline"/>
              <w:rPr>
                <w:rFonts w:ascii="Calibri" w:eastAsia="Times New Roman" w:hAnsi="Calibri" w:cs="Calibri"/>
                <w:kern w:val="0"/>
                <w:lang w:val="es-ES" w:eastAsia="en-GB"/>
                <w14:ligatures w14:val="none"/>
              </w:rPr>
            </w:pPr>
            <w:r w:rsidRPr="002A22F0">
              <w:rPr>
                <w:rFonts w:ascii="Calibri" w:eastAsia="Times New Roman" w:hAnsi="Calibri" w:cs="Calibri"/>
                <w:kern w:val="0"/>
                <w:lang w:val="es-ES" w:eastAsia="en-GB"/>
                <w14:ligatures w14:val="none"/>
              </w:rPr>
              <w:t>Methodological Standards:</w:t>
            </w:r>
          </w:p>
          <w:p w14:paraId="07FC32EF" w14:textId="77777777" w:rsidR="002A22F0" w:rsidRPr="002A22F0" w:rsidRDefault="002A22F0" w:rsidP="002A22F0">
            <w:pPr>
              <w:textAlignment w:val="baseline"/>
              <w:rPr>
                <w:rFonts w:ascii="Calibri" w:eastAsia="Times New Roman" w:hAnsi="Calibri" w:cs="Calibri"/>
                <w:kern w:val="0"/>
                <w:lang w:val="en-US" w:eastAsia="en-GB"/>
                <w14:ligatures w14:val="none"/>
              </w:rPr>
            </w:pPr>
            <w:r w:rsidRPr="002A22F0">
              <w:rPr>
                <w:rFonts w:ascii="Calibri" w:eastAsia="Times New Roman" w:hAnsi="Calibri" w:cs="Calibri"/>
                <w:kern w:val="0"/>
                <w:lang w:val="en-US" w:eastAsia="en-GB"/>
                <w14:ligatures w14:val="none"/>
              </w:rPr>
              <w:t>Credits must be generated using:</w:t>
            </w:r>
          </w:p>
          <w:p w14:paraId="713AA980" w14:textId="77777777" w:rsidR="002A22F0" w:rsidRPr="00793F63" w:rsidRDefault="002A22F0" w:rsidP="002A22F0">
            <w:pPr>
              <w:textAlignment w:val="baseline"/>
              <w:rPr>
                <w:rFonts w:ascii="Calibri" w:eastAsia="Times New Roman" w:hAnsi="Calibri" w:cs="Calibri"/>
                <w:kern w:val="0"/>
                <w:lang w:val="en-US" w:eastAsia="en-GB"/>
                <w14:ligatures w14:val="none"/>
              </w:rPr>
            </w:pPr>
            <w:r w:rsidRPr="00793F63">
              <w:rPr>
                <w:rFonts w:ascii="Calibri" w:eastAsia="Times New Roman" w:hAnsi="Calibri" w:cs="Calibri"/>
                <w:kern w:val="0"/>
                <w:lang w:val="en-US" w:eastAsia="en-GB"/>
                <w14:ligatures w14:val="none"/>
              </w:rPr>
              <w:t>CDM methodologies (numeral 3.1), or</w:t>
            </w:r>
          </w:p>
          <w:p w14:paraId="728599EB" w14:textId="77777777" w:rsidR="002A22F0" w:rsidRPr="002A22F0" w:rsidRDefault="002A22F0" w:rsidP="002A22F0">
            <w:pPr>
              <w:textAlignment w:val="baseline"/>
              <w:rPr>
                <w:rFonts w:ascii="Calibri" w:eastAsia="Times New Roman" w:hAnsi="Calibri" w:cs="Calibri"/>
                <w:kern w:val="0"/>
                <w:lang w:val="en-US" w:eastAsia="en-GB"/>
                <w14:ligatures w14:val="none"/>
              </w:rPr>
            </w:pPr>
            <w:r w:rsidRPr="002A22F0">
              <w:rPr>
                <w:rFonts w:ascii="Calibri" w:eastAsia="Times New Roman" w:hAnsi="Calibri" w:cs="Calibri"/>
                <w:kern w:val="0"/>
                <w:lang w:val="en-US" w:eastAsia="en-GB"/>
                <w14:ligatures w14:val="none"/>
              </w:rPr>
              <w:t>Publicly consulted methodologies from certification programs or carbon standards that are:</w:t>
            </w:r>
          </w:p>
          <w:p w14:paraId="0A6EC77B" w14:textId="77777777" w:rsidR="002A22F0" w:rsidRPr="002A22F0" w:rsidRDefault="002A22F0" w:rsidP="002A22F0">
            <w:pPr>
              <w:textAlignment w:val="baseline"/>
              <w:rPr>
                <w:rFonts w:ascii="Calibri" w:eastAsia="Times New Roman" w:hAnsi="Calibri" w:cs="Calibri"/>
                <w:kern w:val="0"/>
                <w:lang w:val="en-US" w:eastAsia="en-GB"/>
                <w14:ligatures w14:val="none"/>
              </w:rPr>
            </w:pPr>
            <w:r w:rsidRPr="002A22F0">
              <w:rPr>
                <w:rFonts w:ascii="Calibri" w:eastAsia="Times New Roman" w:hAnsi="Calibri" w:cs="Calibri"/>
                <w:kern w:val="0"/>
                <w:lang w:val="en-US" w:eastAsia="en-GB"/>
                <w14:ligatures w14:val="none"/>
              </w:rPr>
              <w:t>Verifiable by an accredited third party,</w:t>
            </w:r>
          </w:p>
          <w:p w14:paraId="56E77DF1" w14:textId="77777777" w:rsidR="002A22F0" w:rsidRPr="00793F63" w:rsidRDefault="002A22F0" w:rsidP="002A22F0">
            <w:pPr>
              <w:textAlignment w:val="baseline"/>
              <w:rPr>
                <w:rFonts w:ascii="Calibri" w:eastAsia="Times New Roman" w:hAnsi="Calibri" w:cs="Calibri"/>
                <w:kern w:val="0"/>
                <w:lang w:val="en-US" w:eastAsia="en-GB"/>
                <w14:ligatures w14:val="none"/>
              </w:rPr>
            </w:pPr>
            <w:r w:rsidRPr="00793F63">
              <w:rPr>
                <w:rFonts w:ascii="Calibri" w:eastAsia="Times New Roman" w:hAnsi="Calibri" w:cs="Calibri"/>
                <w:kern w:val="0"/>
                <w:lang w:val="en-US" w:eastAsia="en-GB"/>
                <w14:ligatures w14:val="none"/>
              </w:rPr>
              <w:t>Issued by the UNFCCC,</w:t>
            </w:r>
          </w:p>
          <w:p w14:paraId="09D7729A" w14:textId="77777777" w:rsidR="002A22F0" w:rsidRPr="002A22F0" w:rsidRDefault="002A22F0" w:rsidP="002A22F0">
            <w:pPr>
              <w:textAlignment w:val="baseline"/>
              <w:rPr>
                <w:rFonts w:ascii="Calibri" w:eastAsia="Times New Roman" w:hAnsi="Calibri" w:cs="Calibri"/>
                <w:kern w:val="0"/>
                <w:lang w:val="en-US" w:eastAsia="en-GB"/>
                <w14:ligatures w14:val="none"/>
              </w:rPr>
            </w:pPr>
            <w:r w:rsidRPr="002A22F0">
              <w:rPr>
                <w:rFonts w:ascii="Calibri" w:eastAsia="Times New Roman" w:hAnsi="Calibri" w:cs="Calibri"/>
                <w:kern w:val="0"/>
                <w:lang w:val="en-US" w:eastAsia="en-GB"/>
                <w14:ligatures w14:val="none"/>
              </w:rPr>
              <w:t>Recognized by the Colombian government, or</w:t>
            </w:r>
          </w:p>
          <w:p w14:paraId="29542E93" w14:textId="77777777" w:rsidR="002A22F0" w:rsidRPr="002A22F0" w:rsidRDefault="002A22F0" w:rsidP="002A22F0">
            <w:pPr>
              <w:textAlignment w:val="baseline"/>
              <w:rPr>
                <w:rFonts w:ascii="Calibri" w:eastAsia="Times New Roman" w:hAnsi="Calibri" w:cs="Calibri"/>
                <w:kern w:val="0"/>
                <w:lang w:val="en-US" w:eastAsia="en-GB"/>
                <w14:ligatures w14:val="none"/>
              </w:rPr>
            </w:pPr>
            <w:r w:rsidRPr="002A22F0">
              <w:rPr>
                <w:rFonts w:ascii="Calibri" w:eastAsia="Times New Roman" w:hAnsi="Calibri" w:cs="Calibri"/>
                <w:kern w:val="0"/>
                <w:lang w:val="en-US" w:eastAsia="en-GB"/>
                <w14:ligatures w14:val="none"/>
              </w:rPr>
              <w:t>Eligible under the REDD+ registry (numeral 3.2.2).</w:t>
            </w:r>
          </w:p>
          <w:p w14:paraId="1D8B92D3" w14:textId="77777777" w:rsidR="002A22F0" w:rsidRPr="002A22F0" w:rsidRDefault="002A22F0">
            <w:pPr>
              <w:numPr>
                <w:ilvl w:val="0"/>
                <w:numId w:val="5"/>
              </w:numPr>
              <w:textAlignment w:val="baseline"/>
              <w:rPr>
                <w:rFonts w:ascii="Calibri" w:eastAsia="Times New Roman" w:hAnsi="Calibri" w:cs="Calibri"/>
                <w:kern w:val="0"/>
                <w:lang w:val="es-ES" w:eastAsia="en-GB"/>
                <w14:ligatures w14:val="none"/>
              </w:rPr>
            </w:pPr>
            <w:r w:rsidRPr="002A22F0">
              <w:rPr>
                <w:rFonts w:ascii="Calibri" w:eastAsia="Times New Roman" w:hAnsi="Calibri" w:cs="Calibri"/>
                <w:kern w:val="0"/>
                <w:lang w:val="es-ES" w:eastAsia="en-GB"/>
                <w14:ligatures w14:val="none"/>
              </w:rPr>
              <w:t>Verification and Registration:</w:t>
            </w:r>
          </w:p>
          <w:p w14:paraId="0E8C5ED4" w14:textId="77777777" w:rsidR="002A22F0" w:rsidRPr="002A22F0" w:rsidRDefault="002A22F0" w:rsidP="002A22F0">
            <w:pPr>
              <w:textAlignment w:val="baseline"/>
              <w:rPr>
                <w:rFonts w:ascii="Calibri" w:eastAsia="Times New Roman" w:hAnsi="Calibri" w:cs="Calibri"/>
                <w:kern w:val="0"/>
                <w:lang w:val="es-ES" w:eastAsia="en-GB"/>
                <w14:ligatures w14:val="none"/>
              </w:rPr>
            </w:pPr>
            <w:r w:rsidRPr="002A22F0">
              <w:rPr>
                <w:rFonts w:ascii="Calibri" w:eastAsia="Times New Roman" w:hAnsi="Calibri" w:cs="Calibri"/>
                <w:kern w:val="0"/>
                <w:lang w:val="es-ES" w:eastAsia="en-GB"/>
                <w14:ligatures w14:val="none"/>
              </w:rPr>
              <w:t>Credits must be:</w:t>
            </w:r>
          </w:p>
          <w:p w14:paraId="3A1EAB01" w14:textId="77777777" w:rsidR="002A22F0" w:rsidRPr="002A22F0" w:rsidRDefault="002A22F0" w:rsidP="002A22F0">
            <w:pPr>
              <w:textAlignment w:val="baseline"/>
              <w:rPr>
                <w:rFonts w:ascii="Calibri" w:eastAsia="Times New Roman" w:hAnsi="Calibri" w:cs="Calibri"/>
                <w:kern w:val="0"/>
                <w:lang w:val="en-US" w:eastAsia="en-GB"/>
                <w14:ligatures w14:val="none"/>
              </w:rPr>
            </w:pPr>
            <w:r w:rsidRPr="002A22F0">
              <w:rPr>
                <w:rFonts w:ascii="Calibri" w:eastAsia="Times New Roman" w:hAnsi="Calibri" w:cs="Calibri"/>
                <w:kern w:val="0"/>
                <w:lang w:val="en-US" w:eastAsia="en-GB"/>
                <w14:ligatures w14:val="none"/>
              </w:rPr>
              <w:t>Verified by an accredited third party (Article 2.2.11.1.2),</w:t>
            </w:r>
          </w:p>
          <w:p w14:paraId="459323D9" w14:textId="77777777" w:rsidR="002A22F0" w:rsidRPr="002A22F0" w:rsidRDefault="002A22F0" w:rsidP="002A22F0">
            <w:pPr>
              <w:textAlignment w:val="baseline"/>
              <w:rPr>
                <w:rFonts w:ascii="Calibri" w:eastAsia="Times New Roman" w:hAnsi="Calibri" w:cs="Calibri"/>
                <w:kern w:val="0"/>
                <w:lang w:val="en-US" w:eastAsia="en-GB"/>
                <w14:ligatures w14:val="none"/>
              </w:rPr>
            </w:pPr>
            <w:r w:rsidRPr="002A22F0">
              <w:rPr>
                <w:rFonts w:ascii="Calibri" w:eastAsia="Times New Roman" w:hAnsi="Calibri" w:cs="Calibri"/>
                <w:kern w:val="0"/>
                <w:lang w:val="en-US" w:eastAsia="en-GB"/>
                <w14:ligatures w14:val="none"/>
              </w:rPr>
              <w:t>Cancelled in the original registry,</w:t>
            </w:r>
          </w:p>
          <w:p w14:paraId="38D3178C" w14:textId="77777777" w:rsidR="002A22F0" w:rsidRPr="002A22F0" w:rsidRDefault="002A22F0" w:rsidP="002A22F0">
            <w:pPr>
              <w:textAlignment w:val="baseline"/>
              <w:rPr>
                <w:rFonts w:ascii="Calibri" w:eastAsia="Times New Roman" w:hAnsi="Calibri" w:cs="Calibri"/>
                <w:kern w:val="0"/>
                <w:lang w:val="es-ES" w:eastAsia="en-GB"/>
                <w14:ligatures w14:val="none"/>
              </w:rPr>
            </w:pPr>
            <w:r w:rsidRPr="002A22F0">
              <w:rPr>
                <w:rFonts w:ascii="Calibri" w:eastAsia="Times New Roman" w:hAnsi="Calibri" w:cs="Calibri"/>
                <w:kern w:val="0"/>
                <w:lang w:val="es-ES" w:eastAsia="en-GB"/>
                <w14:ligatures w14:val="none"/>
              </w:rPr>
              <w:t>Registered in the Registro Nacional de Reducción de las Emisiones de Gases de Efecto Invernadero (GEl) (Article 2.2.11.2.1, numeral 5).</w:t>
            </w:r>
          </w:p>
          <w:p w14:paraId="153B15ED" w14:textId="77777777" w:rsidR="002A22F0" w:rsidRPr="002A22F0" w:rsidRDefault="002A22F0">
            <w:pPr>
              <w:numPr>
                <w:ilvl w:val="0"/>
                <w:numId w:val="5"/>
              </w:numPr>
              <w:textAlignment w:val="baseline"/>
              <w:rPr>
                <w:rFonts w:ascii="Calibri" w:eastAsia="Times New Roman" w:hAnsi="Calibri" w:cs="Calibri"/>
                <w:kern w:val="0"/>
                <w:lang w:val="es-ES" w:eastAsia="en-GB"/>
                <w14:ligatures w14:val="none"/>
              </w:rPr>
            </w:pPr>
            <w:r w:rsidRPr="002A22F0">
              <w:rPr>
                <w:rFonts w:ascii="Calibri" w:eastAsia="Times New Roman" w:hAnsi="Calibri" w:cs="Calibri"/>
                <w:kern w:val="0"/>
                <w:lang w:val="es-ES" w:eastAsia="en-GB"/>
                <w14:ligatures w14:val="none"/>
              </w:rPr>
              <w:t>Temporal Eligibility:</w:t>
            </w:r>
          </w:p>
          <w:p w14:paraId="16C4E431" w14:textId="77777777" w:rsidR="002A22F0" w:rsidRPr="002A22F0" w:rsidRDefault="002A22F0" w:rsidP="002A22F0">
            <w:pPr>
              <w:textAlignment w:val="baseline"/>
              <w:rPr>
                <w:rFonts w:ascii="Calibri" w:eastAsia="Times New Roman" w:hAnsi="Calibri" w:cs="Calibri"/>
                <w:kern w:val="0"/>
                <w:lang w:val="en-US" w:eastAsia="en-GB"/>
                <w14:ligatures w14:val="none"/>
              </w:rPr>
            </w:pPr>
            <w:r w:rsidRPr="002A22F0">
              <w:rPr>
                <w:rFonts w:ascii="Calibri" w:eastAsia="Times New Roman" w:hAnsi="Calibri" w:cs="Calibri"/>
                <w:kern w:val="0"/>
                <w:lang w:val="en-US" w:eastAsia="en-GB"/>
                <w14:ligatures w14:val="none"/>
              </w:rPr>
              <w:t>Only credits generated on or after January 1, 2010 are eligible (Parágrafo 1).</w:t>
            </w:r>
          </w:p>
          <w:p w14:paraId="1A72DD08" w14:textId="77777777" w:rsidR="002A22F0" w:rsidRPr="002A22F0" w:rsidRDefault="002A22F0" w:rsidP="002A22F0">
            <w:pPr>
              <w:textAlignment w:val="baseline"/>
              <w:rPr>
                <w:rFonts w:ascii="Calibri" w:eastAsia="Times New Roman" w:hAnsi="Calibri" w:cs="Calibri"/>
                <w:kern w:val="0"/>
                <w:lang w:val="en-US" w:eastAsia="en-GB"/>
                <w14:ligatures w14:val="none"/>
              </w:rPr>
            </w:pPr>
            <w:r w:rsidRPr="002A22F0">
              <w:rPr>
                <w:rFonts w:ascii="Calibri" w:eastAsia="Times New Roman" w:hAnsi="Calibri" w:cs="Calibri"/>
                <w:kern w:val="0"/>
                <w:lang w:val="en-US" w:eastAsia="en-GB"/>
                <w14:ligatures w14:val="none"/>
              </w:rPr>
              <w:t>Projected reductions are not allowed (Parágrafo 2).</w:t>
            </w:r>
          </w:p>
          <w:p w14:paraId="43963C58" w14:textId="77777777" w:rsidR="002A22F0" w:rsidRPr="002A22F0" w:rsidRDefault="002A22F0" w:rsidP="002A22F0">
            <w:pPr>
              <w:textAlignment w:val="baseline"/>
              <w:rPr>
                <w:rFonts w:ascii="Calibri" w:eastAsia="Times New Roman" w:hAnsi="Calibri" w:cs="Calibri"/>
                <w:kern w:val="0"/>
                <w:lang w:val="en-US" w:eastAsia="en-GB"/>
                <w14:ligatures w14:val="none"/>
              </w:rPr>
            </w:pPr>
            <w:r w:rsidRPr="002A22F0">
              <w:rPr>
                <w:rFonts w:ascii="Calibri" w:eastAsia="Times New Roman" w:hAnsi="Calibri" w:cs="Calibri"/>
                <w:kern w:val="0"/>
                <w:lang w:val="en-US" w:eastAsia="en-GB"/>
                <w14:ligatures w14:val="none"/>
              </w:rPr>
              <w:t>These criteria ensure that only high-integrity, traceable, and nationally aligned credits are used for compliance with Colombia’s carbon tax exemption mechanism.</w:t>
            </w:r>
          </w:p>
          <w:p w14:paraId="153D276A" w14:textId="72049635" w:rsidR="002119B6" w:rsidRPr="002A22F0" w:rsidRDefault="002119B6" w:rsidP="00CF2E7C">
            <w:pPr>
              <w:textAlignment w:val="baseline"/>
              <w:rPr>
                <w:rFonts w:ascii="Calibri" w:eastAsia="Times New Roman" w:hAnsi="Calibri" w:cs="Calibri"/>
                <w:kern w:val="0"/>
                <w:lang w:val="en-US"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A1CA80F" w:rsidR="00FE7FA5" w:rsidRPr="00CF2E7C" w:rsidRDefault="002A22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lastRenderedPageBreak/>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053B772" w:rsidR="00FE7FA5" w:rsidRPr="00793F63" w:rsidRDefault="002A22F0" w:rsidP="00CF2E7C">
            <w:pPr>
              <w:textAlignment w:val="baseline"/>
              <w:rPr>
                <w:rFonts w:ascii="Calibri" w:eastAsia="Times New Roman" w:hAnsi="Calibri" w:cs="Calibri"/>
                <w:kern w:val="0"/>
                <w:lang w:eastAsia="en-GB"/>
                <w14:ligatures w14:val="none"/>
              </w:rPr>
            </w:pPr>
            <w:r w:rsidRPr="00793F63">
              <w:rPr>
                <w:rFonts w:ascii="Calibri" w:eastAsia="Times New Roman" w:hAnsi="Calibri" w:cs="Calibri"/>
                <w:kern w:val="0"/>
                <w:lang w:eastAsia="en-GB"/>
                <w14:ligatures w14:val="none"/>
              </w:rPr>
              <w:t>Decree 926 of 2017 does not provide guidance specifically for the voluntary carbon market. However, it does define the types of credits that are eligible for certifying carbon neutrality and thereby exempting entities from the national carbon tax. These criteria indirectly influence what types of credits may be considered valid in Colombia’s voluntary context, even though the decree does not regulate voluntary market trading or use.</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41EBD9A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A22F0">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1008FA3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22F0">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4372D13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22F0">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26D0F34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22F0">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39121C3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22F0">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06D195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22F0">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315B144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22F0">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0E24DFC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22F0">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37AA7B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22F0">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5BF05E6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22F0">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2F624B8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22F0">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68F7E65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22F0">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094C53D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22F0">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5039872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22F0">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4A03669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22F0">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27EC72" w14:textId="77777777" w:rsidR="00A66F89" w:rsidRDefault="00A66F89" w:rsidP="00874E39">
      <w:r>
        <w:separator/>
      </w:r>
    </w:p>
  </w:endnote>
  <w:endnote w:type="continuationSeparator" w:id="0">
    <w:p w14:paraId="55F063AE" w14:textId="77777777" w:rsidR="00A66F89" w:rsidRDefault="00A66F89" w:rsidP="00874E39">
      <w:r>
        <w:continuationSeparator/>
      </w:r>
    </w:p>
  </w:endnote>
  <w:endnote w:type="continuationNotice" w:id="1">
    <w:p w14:paraId="103E0C80" w14:textId="77777777" w:rsidR="00A66F89" w:rsidRDefault="00A66F8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32BC00F"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91FC0D" w14:textId="77777777" w:rsidR="00A66F89" w:rsidRDefault="00A66F89" w:rsidP="00874E39">
      <w:r>
        <w:separator/>
      </w:r>
    </w:p>
  </w:footnote>
  <w:footnote w:type="continuationSeparator" w:id="0">
    <w:p w14:paraId="20AEDB66" w14:textId="77777777" w:rsidR="00A66F89" w:rsidRDefault="00A66F89" w:rsidP="00874E39">
      <w:r>
        <w:continuationSeparator/>
      </w:r>
    </w:p>
  </w:footnote>
  <w:footnote w:type="continuationNotice" w:id="1">
    <w:p w14:paraId="4680BA78" w14:textId="77777777" w:rsidR="00A66F89" w:rsidRDefault="00A66F8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B75440C"/>
    <w:multiLevelType w:val="multilevel"/>
    <w:tmpl w:val="6D248CC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 w15:restartNumberingAfterBreak="0">
    <w:nsid w:val="4AB54CF2"/>
    <w:multiLevelType w:val="multilevel"/>
    <w:tmpl w:val="50A08F5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6E524DE"/>
    <w:multiLevelType w:val="multilevel"/>
    <w:tmpl w:val="05A876F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342588554">
    <w:abstractNumId w:val="1"/>
  </w:num>
  <w:num w:numId="2" w16cid:durableId="318391343">
    <w:abstractNumId w:val="3"/>
  </w:num>
  <w:num w:numId="3" w16cid:durableId="2036348489">
    <w:abstractNumId w:val="0"/>
  </w:num>
  <w:num w:numId="4" w16cid:durableId="1135948155">
    <w:abstractNumId w:val="4"/>
  </w:num>
  <w:num w:numId="5" w16cid:durableId="1071120772">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6"/>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5B8E"/>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17FC"/>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2F0"/>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A3F"/>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05C"/>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5058"/>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AB"/>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3F63"/>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5FD"/>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6B5"/>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45A"/>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2F"/>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6F89"/>
    <w:rsid w:val="00A711B3"/>
    <w:rsid w:val="00A71C2B"/>
    <w:rsid w:val="00A72E82"/>
    <w:rsid w:val="00A76423"/>
    <w:rsid w:val="00A773D0"/>
    <w:rsid w:val="00A77738"/>
    <w:rsid w:val="00A7786A"/>
    <w:rsid w:val="00A779A2"/>
    <w:rsid w:val="00A80131"/>
    <w:rsid w:val="00A818E6"/>
    <w:rsid w:val="00A81A71"/>
    <w:rsid w:val="00A8251C"/>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3400"/>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67B6"/>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7F2"/>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76FE7"/>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254"/>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01"/>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1"/>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 w:type="paragraph" w:styleId="NormalWeb">
    <w:name w:val="Normal (Web)"/>
    <w:basedOn w:val="Normal"/>
    <w:uiPriority w:val="99"/>
    <w:semiHidden/>
    <w:unhideWhenUsed/>
    <w:rsid w:val="0033605C"/>
    <w:rPr>
      <w:rFonts w:ascii="Times New Roman" w:hAnsi="Times New Roman" w:cs="Times New Roman"/>
    </w:rPr>
  </w:style>
  <w:style w:type="character" w:styleId="Textoennegrita">
    <w:name w:val="Strong"/>
    <w:basedOn w:val="Fuentedeprrafopredeter"/>
    <w:uiPriority w:val="22"/>
    <w:qFormat/>
    <w:rsid w:val="00A8251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46866">
      <w:bodyDiv w:val="1"/>
      <w:marLeft w:val="0"/>
      <w:marRight w:val="0"/>
      <w:marTop w:val="0"/>
      <w:marBottom w:val="0"/>
      <w:divBdr>
        <w:top w:val="none" w:sz="0" w:space="0" w:color="auto"/>
        <w:left w:val="none" w:sz="0" w:space="0" w:color="auto"/>
        <w:bottom w:val="none" w:sz="0" w:space="0" w:color="auto"/>
        <w:right w:val="none" w:sz="0" w:space="0" w:color="auto"/>
      </w:divBdr>
    </w:div>
    <w:div w:id="90666017">
      <w:bodyDiv w:val="1"/>
      <w:marLeft w:val="0"/>
      <w:marRight w:val="0"/>
      <w:marTop w:val="0"/>
      <w:marBottom w:val="0"/>
      <w:divBdr>
        <w:top w:val="none" w:sz="0" w:space="0" w:color="auto"/>
        <w:left w:val="none" w:sz="0" w:space="0" w:color="auto"/>
        <w:bottom w:val="none" w:sz="0" w:space="0" w:color="auto"/>
        <w:right w:val="none" w:sz="0" w:space="0" w:color="auto"/>
      </w:divBdr>
    </w:div>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255751746">
      <w:bodyDiv w:val="1"/>
      <w:marLeft w:val="0"/>
      <w:marRight w:val="0"/>
      <w:marTop w:val="0"/>
      <w:marBottom w:val="0"/>
      <w:divBdr>
        <w:top w:val="none" w:sz="0" w:space="0" w:color="auto"/>
        <w:left w:val="none" w:sz="0" w:space="0" w:color="auto"/>
        <w:bottom w:val="none" w:sz="0" w:space="0" w:color="auto"/>
        <w:right w:val="none" w:sz="0" w:space="0" w:color="auto"/>
      </w:divBdr>
    </w:div>
    <w:div w:id="288243470">
      <w:bodyDiv w:val="1"/>
      <w:marLeft w:val="0"/>
      <w:marRight w:val="0"/>
      <w:marTop w:val="0"/>
      <w:marBottom w:val="0"/>
      <w:divBdr>
        <w:top w:val="none" w:sz="0" w:space="0" w:color="auto"/>
        <w:left w:val="none" w:sz="0" w:space="0" w:color="auto"/>
        <w:bottom w:val="none" w:sz="0" w:space="0" w:color="auto"/>
        <w:right w:val="none" w:sz="0" w:space="0" w:color="auto"/>
      </w:divBdr>
      <w:divsChild>
        <w:div w:id="1174221559">
          <w:blockQuote w:val="1"/>
          <w:marLeft w:val="0"/>
          <w:marRight w:val="0"/>
          <w:marTop w:val="0"/>
          <w:marBottom w:val="0"/>
          <w:divBdr>
            <w:top w:val="none" w:sz="0" w:space="0" w:color="auto"/>
            <w:left w:val="single" w:sz="6" w:space="18" w:color="707070"/>
            <w:bottom w:val="none" w:sz="0" w:space="0" w:color="auto"/>
            <w:right w:val="none" w:sz="0" w:space="0" w:color="auto"/>
          </w:divBdr>
        </w:div>
        <w:div w:id="1034506226">
          <w:marLeft w:val="0"/>
          <w:marRight w:val="0"/>
          <w:marTop w:val="0"/>
          <w:marBottom w:val="0"/>
          <w:divBdr>
            <w:top w:val="none" w:sz="0" w:space="0" w:color="auto"/>
            <w:left w:val="none" w:sz="0" w:space="0" w:color="auto"/>
            <w:bottom w:val="none" w:sz="0" w:space="0" w:color="auto"/>
            <w:right w:val="none" w:sz="0" w:space="0" w:color="auto"/>
          </w:divBdr>
        </w:div>
      </w:divsChild>
    </w:div>
    <w:div w:id="294525252">
      <w:bodyDiv w:val="1"/>
      <w:marLeft w:val="0"/>
      <w:marRight w:val="0"/>
      <w:marTop w:val="0"/>
      <w:marBottom w:val="0"/>
      <w:divBdr>
        <w:top w:val="none" w:sz="0" w:space="0" w:color="auto"/>
        <w:left w:val="none" w:sz="0" w:space="0" w:color="auto"/>
        <w:bottom w:val="none" w:sz="0" w:space="0" w:color="auto"/>
        <w:right w:val="none" w:sz="0" w:space="0" w:color="auto"/>
      </w:divBdr>
      <w:divsChild>
        <w:div w:id="46297741">
          <w:marLeft w:val="0"/>
          <w:marRight w:val="0"/>
          <w:marTop w:val="0"/>
          <w:marBottom w:val="0"/>
          <w:divBdr>
            <w:top w:val="none" w:sz="0" w:space="0" w:color="auto"/>
            <w:left w:val="none" w:sz="0" w:space="0" w:color="auto"/>
            <w:bottom w:val="none" w:sz="0" w:space="0" w:color="auto"/>
            <w:right w:val="none" w:sz="0" w:space="0" w:color="auto"/>
          </w:divBdr>
        </w:div>
        <w:div w:id="1731146889">
          <w:marLeft w:val="0"/>
          <w:marRight w:val="0"/>
          <w:marTop w:val="0"/>
          <w:marBottom w:val="0"/>
          <w:divBdr>
            <w:top w:val="none" w:sz="0" w:space="0" w:color="auto"/>
            <w:left w:val="none" w:sz="0" w:space="0" w:color="auto"/>
            <w:bottom w:val="none" w:sz="0" w:space="0" w:color="auto"/>
            <w:right w:val="none" w:sz="0" w:space="0" w:color="auto"/>
          </w:divBdr>
        </w:div>
      </w:divsChild>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386026486">
      <w:bodyDiv w:val="1"/>
      <w:marLeft w:val="0"/>
      <w:marRight w:val="0"/>
      <w:marTop w:val="0"/>
      <w:marBottom w:val="0"/>
      <w:divBdr>
        <w:top w:val="none" w:sz="0" w:space="0" w:color="auto"/>
        <w:left w:val="none" w:sz="0" w:space="0" w:color="auto"/>
        <w:bottom w:val="none" w:sz="0" w:space="0" w:color="auto"/>
        <w:right w:val="none" w:sz="0" w:space="0" w:color="auto"/>
      </w:divBdr>
    </w:div>
    <w:div w:id="40168610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16247022">
      <w:bodyDiv w:val="1"/>
      <w:marLeft w:val="0"/>
      <w:marRight w:val="0"/>
      <w:marTop w:val="0"/>
      <w:marBottom w:val="0"/>
      <w:divBdr>
        <w:top w:val="none" w:sz="0" w:space="0" w:color="auto"/>
        <w:left w:val="none" w:sz="0" w:space="0" w:color="auto"/>
        <w:bottom w:val="none" w:sz="0" w:space="0" w:color="auto"/>
        <w:right w:val="none" w:sz="0" w:space="0" w:color="auto"/>
      </w:divBdr>
      <w:divsChild>
        <w:div w:id="900288095">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748497849">
      <w:bodyDiv w:val="1"/>
      <w:marLeft w:val="0"/>
      <w:marRight w:val="0"/>
      <w:marTop w:val="0"/>
      <w:marBottom w:val="0"/>
      <w:divBdr>
        <w:top w:val="none" w:sz="0" w:space="0" w:color="auto"/>
        <w:left w:val="none" w:sz="0" w:space="0" w:color="auto"/>
        <w:bottom w:val="none" w:sz="0" w:space="0" w:color="auto"/>
        <w:right w:val="none" w:sz="0" w:space="0" w:color="auto"/>
      </w:divBdr>
    </w:div>
    <w:div w:id="752437394">
      <w:bodyDiv w:val="1"/>
      <w:marLeft w:val="0"/>
      <w:marRight w:val="0"/>
      <w:marTop w:val="0"/>
      <w:marBottom w:val="0"/>
      <w:divBdr>
        <w:top w:val="none" w:sz="0" w:space="0" w:color="auto"/>
        <w:left w:val="none" w:sz="0" w:space="0" w:color="auto"/>
        <w:bottom w:val="none" w:sz="0" w:space="0" w:color="auto"/>
        <w:right w:val="none" w:sz="0" w:space="0" w:color="auto"/>
      </w:divBdr>
    </w:div>
    <w:div w:id="775102999">
      <w:bodyDiv w:val="1"/>
      <w:marLeft w:val="0"/>
      <w:marRight w:val="0"/>
      <w:marTop w:val="0"/>
      <w:marBottom w:val="0"/>
      <w:divBdr>
        <w:top w:val="none" w:sz="0" w:space="0" w:color="auto"/>
        <w:left w:val="none" w:sz="0" w:space="0" w:color="auto"/>
        <w:bottom w:val="none" w:sz="0" w:space="0" w:color="auto"/>
        <w:right w:val="none" w:sz="0" w:space="0" w:color="auto"/>
      </w:divBdr>
      <w:divsChild>
        <w:div w:id="2140107171">
          <w:marLeft w:val="0"/>
          <w:marRight w:val="0"/>
          <w:marTop w:val="0"/>
          <w:marBottom w:val="0"/>
          <w:divBdr>
            <w:top w:val="none" w:sz="0" w:space="0" w:color="auto"/>
            <w:left w:val="none" w:sz="0" w:space="0" w:color="auto"/>
            <w:bottom w:val="none" w:sz="0" w:space="0" w:color="auto"/>
            <w:right w:val="none" w:sz="0" w:space="0" w:color="auto"/>
          </w:divBdr>
        </w:div>
        <w:div w:id="1066488714">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848609">
      <w:bodyDiv w:val="1"/>
      <w:marLeft w:val="0"/>
      <w:marRight w:val="0"/>
      <w:marTop w:val="0"/>
      <w:marBottom w:val="0"/>
      <w:divBdr>
        <w:top w:val="none" w:sz="0" w:space="0" w:color="auto"/>
        <w:left w:val="none" w:sz="0" w:space="0" w:color="auto"/>
        <w:bottom w:val="none" w:sz="0" w:space="0" w:color="auto"/>
        <w:right w:val="none" w:sz="0" w:space="0" w:color="auto"/>
      </w:divBdr>
    </w:div>
    <w:div w:id="963929468">
      <w:bodyDiv w:val="1"/>
      <w:marLeft w:val="0"/>
      <w:marRight w:val="0"/>
      <w:marTop w:val="0"/>
      <w:marBottom w:val="0"/>
      <w:divBdr>
        <w:top w:val="none" w:sz="0" w:space="0" w:color="auto"/>
        <w:left w:val="none" w:sz="0" w:space="0" w:color="auto"/>
        <w:bottom w:val="none" w:sz="0" w:space="0" w:color="auto"/>
        <w:right w:val="none" w:sz="0" w:space="0" w:color="auto"/>
      </w:divBdr>
    </w:div>
    <w:div w:id="981881806">
      <w:bodyDiv w:val="1"/>
      <w:marLeft w:val="0"/>
      <w:marRight w:val="0"/>
      <w:marTop w:val="0"/>
      <w:marBottom w:val="0"/>
      <w:divBdr>
        <w:top w:val="none" w:sz="0" w:space="0" w:color="auto"/>
        <w:left w:val="none" w:sz="0" w:space="0" w:color="auto"/>
        <w:bottom w:val="none" w:sz="0" w:space="0" w:color="auto"/>
        <w:right w:val="none" w:sz="0" w:space="0" w:color="auto"/>
      </w:divBdr>
      <w:divsChild>
        <w:div w:id="1586375314">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098409113">
      <w:bodyDiv w:val="1"/>
      <w:marLeft w:val="0"/>
      <w:marRight w:val="0"/>
      <w:marTop w:val="0"/>
      <w:marBottom w:val="0"/>
      <w:divBdr>
        <w:top w:val="none" w:sz="0" w:space="0" w:color="auto"/>
        <w:left w:val="none" w:sz="0" w:space="0" w:color="auto"/>
        <w:bottom w:val="none" w:sz="0" w:space="0" w:color="auto"/>
        <w:right w:val="none" w:sz="0" w:space="0" w:color="auto"/>
      </w:divBdr>
    </w:div>
    <w:div w:id="1122576806">
      <w:bodyDiv w:val="1"/>
      <w:marLeft w:val="0"/>
      <w:marRight w:val="0"/>
      <w:marTop w:val="0"/>
      <w:marBottom w:val="0"/>
      <w:divBdr>
        <w:top w:val="none" w:sz="0" w:space="0" w:color="auto"/>
        <w:left w:val="none" w:sz="0" w:space="0" w:color="auto"/>
        <w:bottom w:val="none" w:sz="0" w:space="0" w:color="auto"/>
        <w:right w:val="none" w:sz="0" w:space="0" w:color="auto"/>
      </w:divBdr>
    </w:div>
    <w:div w:id="118050479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078448">
      <w:bodyDiv w:val="1"/>
      <w:marLeft w:val="0"/>
      <w:marRight w:val="0"/>
      <w:marTop w:val="0"/>
      <w:marBottom w:val="0"/>
      <w:divBdr>
        <w:top w:val="none" w:sz="0" w:space="0" w:color="auto"/>
        <w:left w:val="none" w:sz="0" w:space="0" w:color="auto"/>
        <w:bottom w:val="none" w:sz="0" w:space="0" w:color="auto"/>
        <w:right w:val="none" w:sz="0" w:space="0" w:color="auto"/>
      </w:divBdr>
      <w:divsChild>
        <w:div w:id="600336372">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1293026246">
      <w:bodyDiv w:val="1"/>
      <w:marLeft w:val="0"/>
      <w:marRight w:val="0"/>
      <w:marTop w:val="0"/>
      <w:marBottom w:val="0"/>
      <w:divBdr>
        <w:top w:val="none" w:sz="0" w:space="0" w:color="auto"/>
        <w:left w:val="none" w:sz="0" w:space="0" w:color="auto"/>
        <w:bottom w:val="none" w:sz="0" w:space="0" w:color="auto"/>
        <w:right w:val="none" w:sz="0" w:space="0" w:color="auto"/>
      </w:divBdr>
    </w:div>
    <w:div w:id="1379889492">
      <w:bodyDiv w:val="1"/>
      <w:marLeft w:val="0"/>
      <w:marRight w:val="0"/>
      <w:marTop w:val="0"/>
      <w:marBottom w:val="0"/>
      <w:divBdr>
        <w:top w:val="none" w:sz="0" w:space="0" w:color="auto"/>
        <w:left w:val="none" w:sz="0" w:space="0" w:color="auto"/>
        <w:bottom w:val="none" w:sz="0" w:space="0" w:color="auto"/>
        <w:right w:val="none" w:sz="0" w:space="0" w:color="auto"/>
      </w:divBdr>
    </w:div>
    <w:div w:id="1416828524">
      <w:bodyDiv w:val="1"/>
      <w:marLeft w:val="0"/>
      <w:marRight w:val="0"/>
      <w:marTop w:val="0"/>
      <w:marBottom w:val="0"/>
      <w:divBdr>
        <w:top w:val="none" w:sz="0" w:space="0" w:color="auto"/>
        <w:left w:val="none" w:sz="0" w:space="0" w:color="auto"/>
        <w:bottom w:val="none" w:sz="0" w:space="0" w:color="auto"/>
        <w:right w:val="none" w:sz="0" w:space="0" w:color="auto"/>
      </w:divBdr>
    </w:div>
    <w:div w:id="1438330770">
      <w:bodyDiv w:val="1"/>
      <w:marLeft w:val="0"/>
      <w:marRight w:val="0"/>
      <w:marTop w:val="0"/>
      <w:marBottom w:val="0"/>
      <w:divBdr>
        <w:top w:val="none" w:sz="0" w:space="0" w:color="auto"/>
        <w:left w:val="none" w:sz="0" w:space="0" w:color="auto"/>
        <w:bottom w:val="none" w:sz="0" w:space="0" w:color="auto"/>
        <w:right w:val="none" w:sz="0" w:space="0" w:color="auto"/>
      </w:divBdr>
    </w:div>
    <w:div w:id="1532571483">
      <w:bodyDiv w:val="1"/>
      <w:marLeft w:val="0"/>
      <w:marRight w:val="0"/>
      <w:marTop w:val="0"/>
      <w:marBottom w:val="0"/>
      <w:divBdr>
        <w:top w:val="none" w:sz="0" w:space="0" w:color="auto"/>
        <w:left w:val="none" w:sz="0" w:space="0" w:color="auto"/>
        <w:bottom w:val="none" w:sz="0" w:space="0" w:color="auto"/>
        <w:right w:val="none" w:sz="0" w:space="0" w:color="auto"/>
      </w:divBdr>
    </w:div>
    <w:div w:id="1581909516">
      <w:bodyDiv w:val="1"/>
      <w:marLeft w:val="0"/>
      <w:marRight w:val="0"/>
      <w:marTop w:val="0"/>
      <w:marBottom w:val="0"/>
      <w:divBdr>
        <w:top w:val="none" w:sz="0" w:space="0" w:color="auto"/>
        <w:left w:val="none" w:sz="0" w:space="0" w:color="auto"/>
        <w:bottom w:val="none" w:sz="0" w:space="0" w:color="auto"/>
        <w:right w:val="none" w:sz="0" w:space="0" w:color="auto"/>
      </w:divBdr>
    </w:div>
    <w:div w:id="1584799955">
      <w:bodyDiv w:val="1"/>
      <w:marLeft w:val="0"/>
      <w:marRight w:val="0"/>
      <w:marTop w:val="0"/>
      <w:marBottom w:val="0"/>
      <w:divBdr>
        <w:top w:val="none" w:sz="0" w:space="0" w:color="auto"/>
        <w:left w:val="none" w:sz="0" w:space="0" w:color="auto"/>
        <w:bottom w:val="none" w:sz="0" w:space="0" w:color="auto"/>
        <w:right w:val="none" w:sz="0" w:space="0" w:color="auto"/>
      </w:divBdr>
    </w:div>
    <w:div w:id="1622999555">
      <w:bodyDiv w:val="1"/>
      <w:marLeft w:val="0"/>
      <w:marRight w:val="0"/>
      <w:marTop w:val="0"/>
      <w:marBottom w:val="0"/>
      <w:divBdr>
        <w:top w:val="none" w:sz="0" w:space="0" w:color="auto"/>
        <w:left w:val="none" w:sz="0" w:space="0" w:color="auto"/>
        <w:bottom w:val="none" w:sz="0" w:space="0" w:color="auto"/>
        <w:right w:val="none" w:sz="0" w:space="0" w:color="auto"/>
      </w:divBdr>
    </w:div>
    <w:div w:id="1642684684">
      <w:bodyDiv w:val="1"/>
      <w:marLeft w:val="0"/>
      <w:marRight w:val="0"/>
      <w:marTop w:val="0"/>
      <w:marBottom w:val="0"/>
      <w:divBdr>
        <w:top w:val="none" w:sz="0" w:space="0" w:color="auto"/>
        <w:left w:val="none" w:sz="0" w:space="0" w:color="auto"/>
        <w:bottom w:val="none" w:sz="0" w:space="0" w:color="auto"/>
        <w:right w:val="none" w:sz="0" w:space="0" w:color="auto"/>
      </w:divBdr>
      <w:divsChild>
        <w:div w:id="1195536601">
          <w:marLeft w:val="0"/>
          <w:marRight w:val="0"/>
          <w:marTop w:val="0"/>
          <w:marBottom w:val="0"/>
          <w:divBdr>
            <w:top w:val="none" w:sz="0" w:space="0" w:color="auto"/>
            <w:left w:val="none" w:sz="0" w:space="0" w:color="auto"/>
            <w:bottom w:val="none" w:sz="0" w:space="0" w:color="auto"/>
            <w:right w:val="none" w:sz="0" w:space="0" w:color="auto"/>
          </w:divBdr>
        </w:div>
        <w:div w:id="1473406348">
          <w:marLeft w:val="0"/>
          <w:marRight w:val="0"/>
          <w:marTop w:val="0"/>
          <w:marBottom w:val="0"/>
          <w:divBdr>
            <w:top w:val="none" w:sz="0" w:space="0" w:color="auto"/>
            <w:left w:val="none" w:sz="0" w:space="0" w:color="auto"/>
            <w:bottom w:val="none" w:sz="0" w:space="0" w:color="auto"/>
            <w:right w:val="none" w:sz="0" w:space="0" w:color="auto"/>
          </w:divBdr>
        </w:div>
        <w:div w:id="1290555950">
          <w:marLeft w:val="0"/>
          <w:marRight w:val="0"/>
          <w:marTop w:val="0"/>
          <w:marBottom w:val="0"/>
          <w:divBdr>
            <w:top w:val="none" w:sz="0" w:space="0" w:color="auto"/>
            <w:left w:val="none" w:sz="0" w:space="0" w:color="auto"/>
            <w:bottom w:val="none" w:sz="0" w:space="0" w:color="auto"/>
            <w:right w:val="none" w:sz="0" w:space="0" w:color="auto"/>
          </w:divBdr>
        </w:div>
        <w:div w:id="1185286003">
          <w:marLeft w:val="0"/>
          <w:marRight w:val="0"/>
          <w:marTop w:val="0"/>
          <w:marBottom w:val="0"/>
          <w:divBdr>
            <w:top w:val="none" w:sz="0" w:space="0" w:color="auto"/>
            <w:left w:val="none" w:sz="0" w:space="0" w:color="auto"/>
            <w:bottom w:val="none" w:sz="0" w:space="0" w:color="auto"/>
            <w:right w:val="none" w:sz="0" w:space="0" w:color="auto"/>
          </w:divBdr>
        </w:div>
      </w:divsChild>
    </w:div>
    <w:div w:id="1663508474">
      <w:bodyDiv w:val="1"/>
      <w:marLeft w:val="0"/>
      <w:marRight w:val="0"/>
      <w:marTop w:val="0"/>
      <w:marBottom w:val="0"/>
      <w:divBdr>
        <w:top w:val="none" w:sz="0" w:space="0" w:color="auto"/>
        <w:left w:val="none" w:sz="0" w:space="0" w:color="auto"/>
        <w:bottom w:val="none" w:sz="0" w:space="0" w:color="auto"/>
        <w:right w:val="none" w:sz="0" w:space="0" w:color="auto"/>
      </w:divBdr>
    </w:div>
    <w:div w:id="1709909956">
      <w:bodyDiv w:val="1"/>
      <w:marLeft w:val="0"/>
      <w:marRight w:val="0"/>
      <w:marTop w:val="0"/>
      <w:marBottom w:val="0"/>
      <w:divBdr>
        <w:top w:val="none" w:sz="0" w:space="0" w:color="auto"/>
        <w:left w:val="none" w:sz="0" w:space="0" w:color="auto"/>
        <w:bottom w:val="none" w:sz="0" w:space="0" w:color="auto"/>
        <w:right w:val="none" w:sz="0" w:space="0" w:color="auto"/>
      </w:divBdr>
      <w:divsChild>
        <w:div w:id="154152742">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1760062444">
      <w:bodyDiv w:val="1"/>
      <w:marLeft w:val="0"/>
      <w:marRight w:val="0"/>
      <w:marTop w:val="0"/>
      <w:marBottom w:val="0"/>
      <w:divBdr>
        <w:top w:val="none" w:sz="0" w:space="0" w:color="auto"/>
        <w:left w:val="none" w:sz="0" w:space="0" w:color="auto"/>
        <w:bottom w:val="none" w:sz="0" w:space="0" w:color="auto"/>
        <w:right w:val="none" w:sz="0" w:space="0" w:color="auto"/>
      </w:divBdr>
      <w:divsChild>
        <w:div w:id="1856964258">
          <w:marLeft w:val="0"/>
          <w:marRight w:val="0"/>
          <w:marTop w:val="0"/>
          <w:marBottom w:val="0"/>
          <w:divBdr>
            <w:top w:val="none" w:sz="0" w:space="0" w:color="auto"/>
            <w:left w:val="none" w:sz="0" w:space="0" w:color="auto"/>
            <w:bottom w:val="none" w:sz="0" w:space="0" w:color="auto"/>
            <w:right w:val="none" w:sz="0" w:space="0" w:color="auto"/>
          </w:divBdr>
        </w:div>
        <w:div w:id="1825928519">
          <w:marLeft w:val="0"/>
          <w:marRight w:val="0"/>
          <w:marTop w:val="0"/>
          <w:marBottom w:val="0"/>
          <w:divBdr>
            <w:top w:val="none" w:sz="0" w:space="0" w:color="auto"/>
            <w:left w:val="none" w:sz="0" w:space="0" w:color="auto"/>
            <w:bottom w:val="none" w:sz="0" w:space="0" w:color="auto"/>
            <w:right w:val="none" w:sz="0" w:space="0" w:color="auto"/>
          </w:divBdr>
        </w:div>
        <w:div w:id="1271282809">
          <w:marLeft w:val="0"/>
          <w:marRight w:val="0"/>
          <w:marTop w:val="0"/>
          <w:marBottom w:val="0"/>
          <w:divBdr>
            <w:top w:val="none" w:sz="0" w:space="0" w:color="auto"/>
            <w:left w:val="none" w:sz="0" w:space="0" w:color="auto"/>
            <w:bottom w:val="none" w:sz="0" w:space="0" w:color="auto"/>
            <w:right w:val="none" w:sz="0" w:space="0" w:color="auto"/>
          </w:divBdr>
        </w:div>
        <w:div w:id="454720550">
          <w:marLeft w:val="0"/>
          <w:marRight w:val="0"/>
          <w:marTop w:val="0"/>
          <w:marBottom w:val="0"/>
          <w:divBdr>
            <w:top w:val="none" w:sz="0" w:space="0" w:color="auto"/>
            <w:left w:val="none" w:sz="0" w:space="0" w:color="auto"/>
            <w:bottom w:val="none" w:sz="0" w:space="0" w:color="auto"/>
            <w:right w:val="none" w:sz="0" w:space="0" w:color="auto"/>
          </w:divBdr>
        </w:div>
      </w:divsChild>
    </w:div>
    <w:div w:id="1795632605">
      <w:bodyDiv w:val="1"/>
      <w:marLeft w:val="0"/>
      <w:marRight w:val="0"/>
      <w:marTop w:val="0"/>
      <w:marBottom w:val="0"/>
      <w:divBdr>
        <w:top w:val="none" w:sz="0" w:space="0" w:color="auto"/>
        <w:left w:val="none" w:sz="0" w:space="0" w:color="auto"/>
        <w:bottom w:val="none" w:sz="0" w:space="0" w:color="auto"/>
        <w:right w:val="none" w:sz="0" w:space="0" w:color="auto"/>
      </w:divBdr>
      <w:divsChild>
        <w:div w:id="1004279568">
          <w:blockQuote w:val="1"/>
          <w:marLeft w:val="0"/>
          <w:marRight w:val="0"/>
          <w:marTop w:val="0"/>
          <w:marBottom w:val="0"/>
          <w:divBdr>
            <w:top w:val="none" w:sz="0" w:space="0" w:color="auto"/>
            <w:left w:val="single" w:sz="6" w:space="18" w:color="707070"/>
            <w:bottom w:val="none" w:sz="0" w:space="0" w:color="auto"/>
            <w:right w:val="none" w:sz="0" w:space="0" w:color="auto"/>
          </w:divBdr>
        </w:div>
        <w:div w:id="1205748286">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1881160373">
      <w:bodyDiv w:val="1"/>
      <w:marLeft w:val="0"/>
      <w:marRight w:val="0"/>
      <w:marTop w:val="0"/>
      <w:marBottom w:val="0"/>
      <w:divBdr>
        <w:top w:val="none" w:sz="0" w:space="0" w:color="auto"/>
        <w:left w:val="none" w:sz="0" w:space="0" w:color="auto"/>
        <w:bottom w:val="none" w:sz="0" w:space="0" w:color="auto"/>
        <w:right w:val="none" w:sz="0" w:space="0" w:color="auto"/>
      </w:divBdr>
    </w:div>
    <w:div w:id="198399982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1163500/https://www.minambiente.gov.co/wp-content/uploads/2022/01/13.-Decreto-926-de-2017.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F12E7D1C-DB97-4EEE-A733-780DDFA0EBF6}"/>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1</Pages>
  <Words>24661</Words>
  <Characters>135637</Characters>
  <Application>Microsoft Office Word</Application>
  <DocSecurity>0</DocSecurity>
  <Lines>1130</Lines>
  <Paragraphs>319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Nicolas Guerrero</cp:lastModifiedBy>
  <cp:revision>5</cp:revision>
  <cp:lastPrinted>2025-03-21T00:14:00Z</cp:lastPrinted>
  <dcterms:created xsi:type="dcterms:W3CDTF">2025-06-25T15:09:00Z</dcterms:created>
  <dcterms:modified xsi:type="dcterms:W3CDTF">2025-07-11T16:41:00Z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